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0410" w14:textId="77777777" w:rsidR="00480EBC" w:rsidRDefault="00480EBC" w:rsidP="00995044">
      <w:pPr>
        <w:spacing w:after="0" w:line="240" w:lineRule="auto"/>
        <w:jc w:val="center"/>
        <w:rPr>
          <w:rFonts w:ascii="Times New Roman" w:hAnsi="Times New Roman"/>
          <w:b/>
          <w:sz w:val="28"/>
          <w:szCs w:val="28"/>
          <w:lang w:eastAsia="hr-HR"/>
        </w:rPr>
      </w:pPr>
    </w:p>
    <w:p w14:paraId="7D330411" w14:textId="77777777" w:rsidR="00911414" w:rsidRPr="00235530" w:rsidRDefault="00911414" w:rsidP="00995044">
      <w:pPr>
        <w:spacing w:after="0" w:line="240" w:lineRule="auto"/>
        <w:jc w:val="center"/>
        <w:rPr>
          <w:rFonts w:ascii="Times New Roman" w:hAnsi="Times New Roman"/>
          <w:b/>
          <w:sz w:val="28"/>
          <w:szCs w:val="28"/>
          <w:lang w:eastAsia="hr-HR"/>
        </w:rPr>
      </w:pPr>
      <w:r w:rsidRPr="00235530">
        <w:rPr>
          <w:rFonts w:ascii="Times New Roman" w:hAnsi="Times New Roman"/>
          <w:b/>
          <w:sz w:val="28"/>
          <w:szCs w:val="28"/>
          <w:lang w:eastAsia="hr-HR"/>
        </w:rPr>
        <w:t>REPUBLIKA HRVATSKA</w:t>
      </w:r>
    </w:p>
    <w:p w14:paraId="7D330412"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r w:rsidRPr="00235530">
        <w:rPr>
          <w:rFonts w:ascii="Times New Roman" w:hAnsi="Times New Roman"/>
          <w:b/>
          <w:sz w:val="28"/>
          <w:szCs w:val="28"/>
          <w:lang w:eastAsia="hr-HR"/>
        </w:rPr>
        <w:t>MINISTARSTVO FINANCIJA</w:t>
      </w:r>
    </w:p>
    <w:p w14:paraId="7D330413"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4"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5"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6"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7"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8"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9"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A"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B"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C"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D"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E"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1F"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20"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21"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22"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23"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24" w14:textId="77777777" w:rsidR="00730369" w:rsidRDefault="00911414" w:rsidP="00995044">
      <w:pPr>
        <w:spacing w:after="0" w:line="240" w:lineRule="auto"/>
        <w:jc w:val="center"/>
        <w:rPr>
          <w:rFonts w:ascii="Times New Roman" w:hAnsi="Times New Roman"/>
          <w:b/>
          <w:sz w:val="28"/>
          <w:szCs w:val="28"/>
          <w:lang w:eastAsia="hr-HR"/>
        </w:rPr>
      </w:pPr>
      <w:r w:rsidRPr="00235530">
        <w:rPr>
          <w:rFonts w:ascii="Times New Roman" w:hAnsi="Times New Roman"/>
          <w:b/>
          <w:sz w:val="28"/>
          <w:szCs w:val="28"/>
          <w:lang w:eastAsia="hr-HR"/>
        </w:rPr>
        <w:t>IZVJEŠĆE O PROVEDENOJ POLITICI</w:t>
      </w:r>
      <w:r w:rsidR="00B42306" w:rsidRPr="00235530">
        <w:rPr>
          <w:rFonts w:ascii="Times New Roman" w:hAnsi="Times New Roman"/>
          <w:b/>
          <w:sz w:val="28"/>
          <w:szCs w:val="28"/>
          <w:lang w:eastAsia="hr-HR"/>
        </w:rPr>
        <w:t xml:space="preserve"> </w:t>
      </w:r>
      <w:r w:rsidRPr="00235530">
        <w:rPr>
          <w:rFonts w:ascii="Times New Roman" w:hAnsi="Times New Roman"/>
          <w:b/>
          <w:sz w:val="28"/>
          <w:szCs w:val="28"/>
          <w:lang w:eastAsia="hr-HR"/>
        </w:rPr>
        <w:t xml:space="preserve">KONCESIJA </w:t>
      </w:r>
    </w:p>
    <w:p w14:paraId="7D330425" w14:textId="5CE673CA" w:rsidR="00911414" w:rsidRPr="00235530" w:rsidRDefault="002135F7" w:rsidP="00995044">
      <w:pPr>
        <w:spacing w:after="0" w:line="240" w:lineRule="auto"/>
        <w:jc w:val="center"/>
        <w:rPr>
          <w:rFonts w:ascii="Times New Roman" w:hAnsi="Times New Roman"/>
          <w:b/>
          <w:sz w:val="28"/>
          <w:szCs w:val="28"/>
          <w:lang w:eastAsia="hr-HR"/>
        </w:rPr>
      </w:pPr>
      <w:r w:rsidRPr="00235530">
        <w:rPr>
          <w:rFonts w:ascii="Times New Roman" w:hAnsi="Times New Roman"/>
          <w:b/>
          <w:sz w:val="28"/>
          <w:szCs w:val="28"/>
          <w:lang w:eastAsia="hr-HR"/>
        </w:rPr>
        <w:t xml:space="preserve">ZA </w:t>
      </w:r>
      <w:r w:rsidR="0012293E" w:rsidRPr="00235530">
        <w:rPr>
          <w:rFonts w:ascii="Times New Roman" w:hAnsi="Times New Roman"/>
          <w:b/>
          <w:sz w:val="28"/>
          <w:szCs w:val="28"/>
          <w:lang w:eastAsia="hr-HR"/>
        </w:rPr>
        <w:t>201</w:t>
      </w:r>
      <w:r w:rsidR="00593784">
        <w:rPr>
          <w:rFonts w:ascii="Times New Roman" w:hAnsi="Times New Roman"/>
          <w:b/>
          <w:sz w:val="28"/>
          <w:szCs w:val="28"/>
          <w:lang w:eastAsia="hr-HR"/>
        </w:rPr>
        <w:t>9</w:t>
      </w:r>
      <w:r w:rsidR="00686130" w:rsidRPr="00235530">
        <w:rPr>
          <w:rFonts w:ascii="Times New Roman" w:hAnsi="Times New Roman"/>
          <w:b/>
          <w:sz w:val="28"/>
          <w:szCs w:val="28"/>
          <w:lang w:eastAsia="hr-HR"/>
        </w:rPr>
        <w:t>.</w:t>
      </w:r>
      <w:bookmarkStart w:id="0" w:name="_GoBack"/>
      <w:bookmarkEnd w:id="0"/>
    </w:p>
    <w:p w14:paraId="7D330426"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27"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28" w14:textId="77777777" w:rsidR="00911414" w:rsidRPr="00235530" w:rsidRDefault="00911414" w:rsidP="00995044">
      <w:pPr>
        <w:spacing w:after="0" w:line="240" w:lineRule="auto"/>
        <w:jc w:val="center"/>
        <w:rPr>
          <w:rFonts w:ascii="Times New Roman" w:hAnsi="Times New Roman"/>
          <w:b/>
          <w:sz w:val="28"/>
          <w:szCs w:val="28"/>
          <w:lang w:eastAsia="hr-HR"/>
        </w:rPr>
      </w:pPr>
    </w:p>
    <w:p w14:paraId="7D330429" w14:textId="77777777" w:rsidR="00911414" w:rsidRPr="00235530" w:rsidRDefault="00911414" w:rsidP="00995044">
      <w:pPr>
        <w:spacing w:after="0" w:line="240" w:lineRule="auto"/>
        <w:rPr>
          <w:rFonts w:ascii="Times New Roman" w:hAnsi="Times New Roman"/>
          <w:b/>
          <w:sz w:val="28"/>
          <w:szCs w:val="28"/>
          <w:lang w:eastAsia="hr-HR"/>
        </w:rPr>
      </w:pPr>
    </w:p>
    <w:p w14:paraId="7D33042A" w14:textId="77777777" w:rsidR="00911414" w:rsidRPr="00235530" w:rsidRDefault="00911414" w:rsidP="00995044">
      <w:pPr>
        <w:spacing w:after="0" w:line="240" w:lineRule="auto"/>
        <w:rPr>
          <w:rFonts w:ascii="Times New Roman" w:hAnsi="Times New Roman"/>
          <w:b/>
          <w:sz w:val="28"/>
          <w:szCs w:val="28"/>
          <w:lang w:eastAsia="hr-HR"/>
        </w:rPr>
      </w:pPr>
    </w:p>
    <w:p w14:paraId="7D33042B" w14:textId="77777777" w:rsidR="00911414" w:rsidRPr="00235530" w:rsidRDefault="00911414" w:rsidP="00995044">
      <w:pPr>
        <w:spacing w:after="0" w:line="240" w:lineRule="auto"/>
        <w:rPr>
          <w:rFonts w:ascii="Times New Roman" w:hAnsi="Times New Roman"/>
          <w:b/>
          <w:sz w:val="28"/>
          <w:szCs w:val="28"/>
          <w:lang w:eastAsia="hr-HR"/>
        </w:rPr>
      </w:pPr>
    </w:p>
    <w:p w14:paraId="7D33042C" w14:textId="77777777" w:rsidR="00911414" w:rsidRPr="00235530" w:rsidRDefault="00911414" w:rsidP="00995044">
      <w:pPr>
        <w:spacing w:after="0" w:line="240" w:lineRule="auto"/>
        <w:rPr>
          <w:rFonts w:ascii="Times New Roman" w:hAnsi="Times New Roman"/>
          <w:b/>
          <w:sz w:val="28"/>
          <w:szCs w:val="28"/>
          <w:lang w:eastAsia="hr-HR"/>
        </w:rPr>
      </w:pPr>
    </w:p>
    <w:p w14:paraId="7D33042D"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2E"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2F"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0"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1"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2"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3"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4"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5"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6" w14:textId="77777777" w:rsidR="00911414" w:rsidRPr="00235530" w:rsidRDefault="00911414" w:rsidP="00235530">
      <w:pPr>
        <w:pBdr>
          <w:bottom w:val="single" w:sz="4" w:space="1" w:color="auto"/>
        </w:pBdr>
        <w:spacing w:after="0" w:line="240" w:lineRule="auto"/>
        <w:rPr>
          <w:rFonts w:ascii="Times New Roman" w:hAnsi="Times New Roman"/>
          <w:b/>
          <w:sz w:val="28"/>
          <w:szCs w:val="28"/>
          <w:lang w:eastAsia="hr-HR"/>
        </w:rPr>
      </w:pPr>
    </w:p>
    <w:p w14:paraId="7D330437"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8"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9" w14:textId="77777777" w:rsidR="00911414" w:rsidRPr="00235530" w:rsidRDefault="00911414" w:rsidP="00995044">
      <w:pPr>
        <w:pBdr>
          <w:bottom w:val="single" w:sz="4" w:space="1" w:color="auto"/>
        </w:pBdr>
        <w:spacing w:after="0" w:line="240" w:lineRule="auto"/>
        <w:jc w:val="center"/>
        <w:rPr>
          <w:rFonts w:ascii="Times New Roman" w:hAnsi="Times New Roman"/>
          <w:b/>
          <w:sz w:val="28"/>
          <w:szCs w:val="28"/>
          <w:lang w:eastAsia="hr-HR"/>
        </w:rPr>
      </w:pPr>
    </w:p>
    <w:p w14:paraId="7D33043A" w14:textId="77777777" w:rsidR="00B42306" w:rsidRPr="00235530" w:rsidRDefault="00B42306" w:rsidP="00995044">
      <w:pPr>
        <w:pBdr>
          <w:bottom w:val="single" w:sz="4" w:space="1" w:color="auto"/>
        </w:pBdr>
        <w:spacing w:after="0" w:line="240" w:lineRule="auto"/>
        <w:jc w:val="center"/>
        <w:rPr>
          <w:rFonts w:ascii="Times New Roman" w:hAnsi="Times New Roman"/>
          <w:b/>
          <w:sz w:val="28"/>
          <w:szCs w:val="28"/>
          <w:lang w:eastAsia="hr-HR"/>
        </w:rPr>
      </w:pPr>
    </w:p>
    <w:p w14:paraId="7D33043B" w14:textId="77777777" w:rsidR="00911414" w:rsidRDefault="00911414" w:rsidP="00323F25">
      <w:pPr>
        <w:spacing w:after="0" w:line="240" w:lineRule="auto"/>
        <w:jc w:val="center"/>
        <w:rPr>
          <w:rFonts w:ascii="Times New Roman" w:hAnsi="Times New Roman"/>
          <w:b/>
          <w:sz w:val="28"/>
          <w:szCs w:val="28"/>
          <w:lang w:eastAsia="hr-HR"/>
        </w:rPr>
      </w:pPr>
      <w:r w:rsidRPr="00235530">
        <w:rPr>
          <w:rFonts w:ascii="Times New Roman" w:hAnsi="Times New Roman"/>
          <w:b/>
          <w:sz w:val="28"/>
          <w:szCs w:val="28"/>
          <w:lang w:eastAsia="hr-HR"/>
        </w:rPr>
        <w:t xml:space="preserve">Zagreb, </w:t>
      </w:r>
      <w:r w:rsidR="00F57A23">
        <w:rPr>
          <w:rFonts w:ascii="Times New Roman" w:hAnsi="Times New Roman"/>
          <w:b/>
          <w:sz w:val="28"/>
          <w:szCs w:val="28"/>
          <w:lang w:eastAsia="hr-HR"/>
        </w:rPr>
        <w:t>prosinac</w:t>
      </w:r>
      <w:r w:rsidR="00593784">
        <w:rPr>
          <w:rFonts w:ascii="Times New Roman" w:hAnsi="Times New Roman"/>
          <w:b/>
          <w:sz w:val="28"/>
          <w:szCs w:val="28"/>
          <w:lang w:eastAsia="hr-HR"/>
        </w:rPr>
        <w:t xml:space="preserve"> 2020</w:t>
      </w:r>
      <w:r w:rsidRPr="00235530">
        <w:rPr>
          <w:rFonts w:ascii="Times New Roman" w:hAnsi="Times New Roman"/>
          <w:b/>
          <w:sz w:val="28"/>
          <w:szCs w:val="28"/>
          <w:lang w:eastAsia="hr-HR"/>
        </w:rPr>
        <w:t>.</w:t>
      </w:r>
    </w:p>
    <w:p w14:paraId="7D33043C" w14:textId="77777777" w:rsidR="006409A4" w:rsidRPr="00235530" w:rsidRDefault="006409A4" w:rsidP="00323F25">
      <w:pPr>
        <w:spacing w:after="0" w:line="240" w:lineRule="auto"/>
        <w:jc w:val="center"/>
        <w:rPr>
          <w:rFonts w:ascii="Times New Roman" w:hAnsi="Times New Roman"/>
          <w:b/>
          <w:sz w:val="28"/>
          <w:szCs w:val="28"/>
          <w:lang w:eastAsia="hr-HR"/>
        </w:rPr>
      </w:pPr>
    </w:p>
    <w:p w14:paraId="7D33043D" w14:textId="77777777" w:rsidR="00911414" w:rsidRPr="00235530" w:rsidRDefault="00911414" w:rsidP="00DE622E">
      <w:pPr>
        <w:spacing w:after="0" w:line="240" w:lineRule="auto"/>
        <w:rPr>
          <w:rFonts w:ascii="Times New Roman" w:hAnsi="Times New Roman"/>
          <w:b/>
          <w:lang w:eastAsia="hr-HR"/>
        </w:rPr>
      </w:pPr>
      <w:r w:rsidRPr="00235530">
        <w:rPr>
          <w:rFonts w:ascii="Times New Roman" w:hAnsi="Times New Roman"/>
          <w:b/>
          <w:bCs/>
          <w:u w:val="single"/>
          <w:lang w:eastAsia="hr-HR"/>
        </w:rPr>
        <w:t xml:space="preserve">SADRŽAJ: </w:t>
      </w:r>
    </w:p>
    <w:p w14:paraId="7D33043E" w14:textId="77777777" w:rsidR="00911414" w:rsidRPr="00235530" w:rsidRDefault="00911414" w:rsidP="00DE622E">
      <w:pPr>
        <w:spacing w:after="0" w:line="240" w:lineRule="auto"/>
        <w:rPr>
          <w:rFonts w:ascii="Times New Roman" w:hAnsi="Times New Roman"/>
          <w:b/>
          <w:bCs/>
          <w:u w:val="single"/>
          <w:lang w:eastAsia="hr-HR"/>
        </w:rPr>
      </w:pPr>
    </w:p>
    <w:p w14:paraId="7D33043F" w14:textId="77777777" w:rsidR="00FA779B" w:rsidRPr="00FA779B" w:rsidRDefault="009F3108" w:rsidP="00FA779B">
      <w:pPr>
        <w:pStyle w:val="TOC1"/>
        <w:tabs>
          <w:tab w:val="right" w:leader="dot" w:pos="9062"/>
        </w:tabs>
        <w:spacing w:before="240" w:after="240" w:line="240" w:lineRule="auto"/>
        <w:rPr>
          <w:rFonts w:ascii="Times New Roman" w:hAnsi="Times New Roman" w:cs="Times New Roman"/>
          <w:b/>
          <w:noProof/>
          <w:color w:val="0000FF"/>
          <w:u w:val="single"/>
        </w:rPr>
      </w:pPr>
      <w:r w:rsidRPr="009F3108">
        <w:rPr>
          <w:rFonts w:ascii="Times New Roman" w:hAnsi="Times New Roman" w:cs="Times New Roman"/>
          <w:b/>
          <w:bCs/>
        </w:rPr>
        <w:t>1.</w:t>
      </w:r>
      <w:r>
        <w:rPr>
          <w:rFonts w:ascii="Times New Roman" w:hAnsi="Times New Roman" w:cs="Times New Roman"/>
          <w:b/>
          <w:bCs/>
        </w:rPr>
        <w:t xml:space="preserve"> </w:t>
      </w:r>
      <w:r w:rsidRPr="009F3108">
        <w:rPr>
          <w:rFonts w:ascii="Times New Roman" w:hAnsi="Times New Roman" w:cs="Times New Roman"/>
          <w:b/>
          <w:bCs/>
        </w:rPr>
        <w:fldChar w:fldCharType="begin"/>
      </w:r>
      <w:r w:rsidRPr="009F3108">
        <w:rPr>
          <w:rFonts w:ascii="Times New Roman" w:hAnsi="Times New Roman" w:cs="Times New Roman"/>
          <w:b/>
          <w:bCs/>
        </w:rPr>
        <w:instrText xml:space="preserve"> TOC \o "1-1" \h \z \u </w:instrText>
      </w:r>
      <w:r w:rsidRPr="009F3108">
        <w:rPr>
          <w:rFonts w:ascii="Times New Roman" w:hAnsi="Times New Roman" w:cs="Times New Roman"/>
          <w:b/>
          <w:bCs/>
        </w:rPr>
        <w:fldChar w:fldCharType="separate"/>
      </w:r>
      <w:hyperlink w:anchor="_Toc526419489" w:history="1">
        <w:r w:rsidRPr="009F3108">
          <w:rPr>
            <w:rStyle w:val="Hyperlink"/>
            <w:rFonts w:ascii="Times New Roman" w:hAnsi="Times New Roman"/>
            <w:b/>
            <w:smallCaps/>
            <w:noProof/>
          </w:rPr>
          <w:t>SUSTAV KONCESIJA U REPUBLICI HRVATSKOJ</w:t>
        </w:r>
        <w:r w:rsidRPr="009F3108">
          <w:rPr>
            <w:rFonts w:ascii="Times New Roman" w:hAnsi="Times New Roman" w:cs="Times New Roman"/>
            <w:b/>
            <w:noProof/>
            <w:webHidden/>
          </w:rPr>
          <w:tab/>
        </w:r>
        <w:r w:rsidRPr="009F3108">
          <w:rPr>
            <w:rFonts w:ascii="Times New Roman" w:hAnsi="Times New Roman" w:cs="Times New Roman"/>
            <w:b/>
            <w:noProof/>
            <w:webHidden/>
          </w:rPr>
          <w:fldChar w:fldCharType="begin"/>
        </w:r>
        <w:r w:rsidRPr="009F3108">
          <w:rPr>
            <w:rFonts w:ascii="Times New Roman" w:hAnsi="Times New Roman" w:cs="Times New Roman"/>
            <w:b/>
            <w:noProof/>
            <w:webHidden/>
          </w:rPr>
          <w:instrText xml:space="preserve"> PAGEREF _Toc526419489 \h </w:instrText>
        </w:r>
        <w:r w:rsidRPr="009F3108">
          <w:rPr>
            <w:rFonts w:ascii="Times New Roman" w:hAnsi="Times New Roman" w:cs="Times New Roman"/>
            <w:b/>
            <w:noProof/>
            <w:webHidden/>
          </w:rPr>
        </w:r>
        <w:r w:rsidRPr="009F3108">
          <w:rPr>
            <w:rFonts w:ascii="Times New Roman" w:hAnsi="Times New Roman" w:cs="Times New Roman"/>
            <w:b/>
            <w:noProof/>
            <w:webHidden/>
          </w:rPr>
          <w:fldChar w:fldCharType="separate"/>
        </w:r>
        <w:r w:rsidR="006C20DA">
          <w:rPr>
            <w:rFonts w:ascii="Times New Roman" w:hAnsi="Times New Roman" w:cs="Times New Roman"/>
            <w:b/>
            <w:noProof/>
            <w:webHidden/>
          </w:rPr>
          <w:t>5</w:t>
        </w:r>
        <w:r w:rsidRPr="009F3108">
          <w:rPr>
            <w:rFonts w:ascii="Times New Roman" w:hAnsi="Times New Roman" w:cs="Times New Roman"/>
            <w:b/>
            <w:noProof/>
            <w:webHidden/>
          </w:rPr>
          <w:fldChar w:fldCharType="end"/>
        </w:r>
      </w:hyperlink>
    </w:p>
    <w:p w14:paraId="7D330440" w14:textId="77777777" w:rsidR="009F3108" w:rsidRPr="009F3108" w:rsidRDefault="00140881" w:rsidP="00FA779B">
      <w:pPr>
        <w:pStyle w:val="TOC1"/>
        <w:tabs>
          <w:tab w:val="right" w:leader="dot" w:pos="9062"/>
        </w:tabs>
        <w:spacing w:before="240" w:after="240" w:line="240" w:lineRule="auto"/>
        <w:rPr>
          <w:rFonts w:ascii="Times New Roman" w:hAnsi="Times New Roman" w:cs="Times New Roman"/>
          <w:b/>
          <w:noProof/>
        </w:rPr>
      </w:pPr>
      <w:hyperlink w:anchor="_Toc526419490" w:history="1">
        <w:r w:rsidR="009F3108" w:rsidRPr="009F3108">
          <w:rPr>
            <w:rStyle w:val="Hyperlink"/>
            <w:rFonts w:ascii="Times New Roman" w:hAnsi="Times New Roman"/>
            <w:b/>
            <w:smallCaps/>
            <w:noProof/>
            <w:spacing w:val="5"/>
          </w:rPr>
          <w:t>2. REGISTAR KONCESIJA</w:t>
        </w:r>
        <w:r w:rsidR="009F3108" w:rsidRPr="009F3108">
          <w:rPr>
            <w:rFonts w:ascii="Times New Roman" w:hAnsi="Times New Roman" w:cs="Times New Roman"/>
            <w:b/>
            <w:noProof/>
            <w:webHidden/>
          </w:rPr>
          <w:tab/>
        </w:r>
        <w:r w:rsidR="009F3108" w:rsidRPr="009F3108">
          <w:rPr>
            <w:rFonts w:ascii="Times New Roman" w:hAnsi="Times New Roman" w:cs="Times New Roman"/>
            <w:b/>
            <w:noProof/>
            <w:webHidden/>
          </w:rPr>
          <w:fldChar w:fldCharType="begin"/>
        </w:r>
        <w:r w:rsidR="009F3108" w:rsidRPr="009F3108">
          <w:rPr>
            <w:rFonts w:ascii="Times New Roman" w:hAnsi="Times New Roman" w:cs="Times New Roman"/>
            <w:b/>
            <w:noProof/>
            <w:webHidden/>
          </w:rPr>
          <w:instrText xml:space="preserve"> PAGEREF _Toc526419490 \h </w:instrText>
        </w:r>
        <w:r w:rsidR="009F3108" w:rsidRPr="009F3108">
          <w:rPr>
            <w:rFonts w:ascii="Times New Roman" w:hAnsi="Times New Roman" w:cs="Times New Roman"/>
            <w:b/>
            <w:noProof/>
            <w:webHidden/>
          </w:rPr>
        </w:r>
        <w:r w:rsidR="009F3108" w:rsidRPr="009F3108">
          <w:rPr>
            <w:rFonts w:ascii="Times New Roman" w:hAnsi="Times New Roman" w:cs="Times New Roman"/>
            <w:b/>
            <w:noProof/>
            <w:webHidden/>
          </w:rPr>
          <w:fldChar w:fldCharType="separate"/>
        </w:r>
        <w:r w:rsidR="006C20DA">
          <w:rPr>
            <w:rFonts w:ascii="Times New Roman" w:hAnsi="Times New Roman" w:cs="Times New Roman"/>
            <w:b/>
            <w:noProof/>
            <w:webHidden/>
          </w:rPr>
          <w:t>8</w:t>
        </w:r>
        <w:r w:rsidR="009F3108" w:rsidRPr="009F3108">
          <w:rPr>
            <w:rFonts w:ascii="Times New Roman" w:hAnsi="Times New Roman" w:cs="Times New Roman"/>
            <w:b/>
            <w:noProof/>
            <w:webHidden/>
          </w:rPr>
          <w:fldChar w:fldCharType="end"/>
        </w:r>
      </w:hyperlink>
    </w:p>
    <w:p w14:paraId="7D330441" w14:textId="77777777" w:rsidR="009F3108" w:rsidRPr="009F3108" w:rsidRDefault="00140881" w:rsidP="00FA779B">
      <w:pPr>
        <w:pStyle w:val="TOC1"/>
        <w:tabs>
          <w:tab w:val="right" w:leader="dot" w:pos="9062"/>
        </w:tabs>
        <w:spacing w:before="240" w:after="240" w:line="240" w:lineRule="auto"/>
        <w:rPr>
          <w:rFonts w:ascii="Times New Roman" w:hAnsi="Times New Roman" w:cs="Times New Roman"/>
          <w:b/>
          <w:noProof/>
        </w:rPr>
      </w:pPr>
      <w:hyperlink w:anchor="_Toc526419491" w:history="1">
        <w:r w:rsidR="009F3108" w:rsidRPr="009F3108">
          <w:rPr>
            <w:rStyle w:val="Hyperlink"/>
            <w:rFonts w:ascii="Times New Roman" w:hAnsi="Times New Roman"/>
            <w:b/>
            <w:smallCaps/>
            <w:noProof/>
            <w:spacing w:val="5"/>
          </w:rPr>
          <w:t>3. ANALIZA PRIHODA OD NAKNADA ZA KONCESIJE</w:t>
        </w:r>
        <w:r w:rsidR="009F3108" w:rsidRPr="009F3108">
          <w:rPr>
            <w:rFonts w:ascii="Times New Roman" w:hAnsi="Times New Roman" w:cs="Times New Roman"/>
            <w:b/>
            <w:noProof/>
            <w:webHidden/>
          </w:rPr>
          <w:tab/>
        </w:r>
        <w:r w:rsidR="009F3108" w:rsidRPr="009F3108">
          <w:rPr>
            <w:rFonts w:ascii="Times New Roman" w:hAnsi="Times New Roman" w:cs="Times New Roman"/>
            <w:b/>
            <w:noProof/>
            <w:webHidden/>
          </w:rPr>
          <w:fldChar w:fldCharType="begin"/>
        </w:r>
        <w:r w:rsidR="009F3108" w:rsidRPr="009F3108">
          <w:rPr>
            <w:rFonts w:ascii="Times New Roman" w:hAnsi="Times New Roman" w:cs="Times New Roman"/>
            <w:b/>
            <w:noProof/>
            <w:webHidden/>
          </w:rPr>
          <w:instrText xml:space="preserve"> PAGEREF _Toc526419491 \h </w:instrText>
        </w:r>
        <w:r w:rsidR="009F3108" w:rsidRPr="009F3108">
          <w:rPr>
            <w:rFonts w:ascii="Times New Roman" w:hAnsi="Times New Roman" w:cs="Times New Roman"/>
            <w:b/>
            <w:noProof/>
            <w:webHidden/>
          </w:rPr>
        </w:r>
        <w:r w:rsidR="009F3108" w:rsidRPr="009F3108">
          <w:rPr>
            <w:rFonts w:ascii="Times New Roman" w:hAnsi="Times New Roman" w:cs="Times New Roman"/>
            <w:b/>
            <w:noProof/>
            <w:webHidden/>
          </w:rPr>
          <w:fldChar w:fldCharType="separate"/>
        </w:r>
        <w:r w:rsidR="006C20DA">
          <w:rPr>
            <w:rFonts w:ascii="Times New Roman" w:hAnsi="Times New Roman" w:cs="Times New Roman"/>
            <w:b/>
            <w:noProof/>
            <w:webHidden/>
          </w:rPr>
          <w:t>12</w:t>
        </w:r>
        <w:r w:rsidR="009F3108" w:rsidRPr="009F3108">
          <w:rPr>
            <w:rFonts w:ascii="Times New Roman" w:hAnsi="Times New Roman" w:cs="Times New Roman"/>
            <w:b/>
            <w:noProof/>
            <w:webHidden/>
          </w:rPr>
          <w:fldChar w:fldCharType="end"/>
        </w:r>
      </w:hyperlink>
    </w:p>
    <w:p w14:paraId="7D330442" w14:textId="77777777" w:rsidR="009F3108" w:rsidRPr="009F3108" w:rsidRDefault="00140881" w:rsidP="00FA779B">
      <w:pPr>
        <w:pStyle w:val="TOC1"/>
        <w:tabs>
          <w:tab w:val="right" w:leader="dot" w:pos="9062"/>
        </w:tabs>
        <w:spacing w:before="240" w:after="240" w:line="240" w:lineRule="auto"/>
        <w:rPr>
          <w:rFonts w:ascii="Times New Roman" w:hAnsi="Times New Roman" w:cs="Times New Roman"/>
          <w:b/>
          <w:noProof/>
        </w:rPr>
      </w:pPr>
      <w:hyperlink w:anchor="_Toc526419492" w:history="1">
        <w:r w:rsidR="009F3108" w:rsidRPr="009F3108">
          <w:rPr>
            <w:rStyle w:val="Hyperlink"/>
            <w:rFonts w:ascii="Times New Roman" w:hAnsi="Times New Roman"/>
            <w:b/>
            <w:smallCaps/>
            <w:noProof/>
            <w:spacing w:val="5"/>
          </w:rPr>
          <w:t>4. OSTALE AKTIVNOSTI U PODRUČJU KONCESIJA</w:t>
        </w:r>
        <w:r w:rsidR="009F3108" w:rsidRPr="009F3108">
          <w:rPr>
            <w:rFonts w:ascii="Times New Roman" w:hAnsi="Times New Roman" w:cs="Times New Roman"/>
            <w:b/>
            <w:noProof/>
            <w:webHidden/>
          </w:rPr>
          <w:tab/>
        </w:r>
        <w:r w:rsidR="009F3108" w:rsidRPr="009F3108">
          <w:rPr>
            <w:rFonts w:ascii="Times New Roman" w:hAnsi="Times New Roman" w:cs="Times New Roman"/>
            <w:b/>
            <w:noProof/>
            <w:webHidden/>
          </w:rPr>
          <w:fldChar w:fldCharType="begin"/>
        </w:r>
        <w:r w:rsidR="009F3108" w:rsidRPr="009F3108">
          <w:rPr>
            <w:rFonts w:ascii="Times New Roman" w:hAnsi="Times New Roman" w:cs="Times New Roman"/>
            <w:b/>
            <w:noProof/>
            <w:webHidden/>
          </w:rPr>
          <w:instrText xml:space="preserve"> PAGEREF _Toc526419492 \h </w:instrText>
        </w:r>
        <w:r w:rsidR="009F3108" w:rsidRPr="009F3108">
          <w:rPr>
            <w:rFonts w:ascii="Times New Roman" w:hAnsi="Times New Roman" w:cs="Times New Roman"/>
            <w:b/>
            <w:noProof/>
            <w:webHidden/>
          </w:rPr>
        </w:r>
        <w:r w:rsidR="009F3108" w:rsidRPr="009F3108">
          <w:rPr>
            <w:rFonts w:ascii="Times New Roman" w:hAnsi="Times New Roman" w:cs="Times New Roman"/>
            <w:b/>
            <w:noProof/>
            <w:webHidden/>
          </w:rPr>
          <w:fldChar w:fldCharType="separate"/>
        </w:r>
        <w:r w:rsidR="006C20DA">
          <w:rPr>
            <w:rFonts w:ascii="Times New Roman" w:hAnsi="Times New Roman" w:cs="Times New Roman"/>
            <w:b/>
            <w:noProof/>
            <w:webHidden/>
          </w:rPr>
          <w:t>20</w:t>
        </w:r>
        <w:r w:rsidR="009F3108" w:rsidRPr="009F3108">
          <w:rPr>
            <w:rFonts w:ascii="Times New Roman" w:hAnsi="Times New Roman" w:cs="Times New Roman"/>
            <w:b/>
            <w:noProof/>
            <w:webHidden/>
          </w:rPr>
          <w:fldChar w:fldCharType="end"/>
        </w:r>
      </w:hyperlink>
    </w:p>
    <w:p w14:paraId="7D330443" w14:textId="77777777" w:rsidR="009F3108" w:rsidRPr="009F3108" w:rsidRDefault="00140881" w:rsidP="00FA779B">
      <w:pPr>
        <w:pStyle w:val="TOC1"/>
        <w:tabs>
          <w:tab w:val="right" w:leader="dot" w:pos="9062"/>
        </w:tabs>
        <w:spacing w:before="240" w:after="240" w:line="240" w:lineRule="auto"/>
        <w:rPr>
          <w:rFonts w:ascii="Times New Roman" w:hAnsi="Times New Roman" w:cs="Times New Roman"/>
          <w:b/>
          <w:noProof/>
        </w:rPr>
      </w:pPr>
      <w:hyperlink w:anchor="_Toc526419505" w:history="1">
        <w:r w:rsidR="009F3108" w:rsidRPr="009F3108">
          <w:rPr>
            <w:rStyle w:val="Hyperlink"/>
            <w:rFonts w:ascii="Times New Roman" w:hAnsi="Times New Roman"/>
            <w:b/>
            <w:smallCaps/>
            <w:noProof/>
            <w:spacing w:val="5"/>
          </w:rPr>
          <w:t>5. DUGOVANJA EVIDENTIRANA U REGISTRU KONCESIJA</w:t>
        </w:r>
        <w:r w:rsidR="009F3108" w:rsidRPr="009F3108">
          <w:rPr>
            <w:rFonts w:ascii="Times New Roman" w:hAnsi="Times New Roman" w:cs="Times New Roman"/>
            <w:b/>
            <w:noProof/>
            <w:webHidden/>
          </w:rPr>
          <w:tab/>
        </w:r>
        <w:r w:rsidR="009F3108" w:rsidRPr="009F3108">
          <w:rPr>
            <w:rFonts w:ascii="Times New Roman" w:hAnsi="Times New Roman" w:cs="Times New Roman"/>
            <w:b/>
            <w:noProof/>
            <w:webHidden/>
          </w:rPr>
          <w:fldChar w:fldCharType="begin"/>
        </w:r>
        <w:r w:rsidR="009F3108" w:rsidRPr="009F3108">
          <w:rPr>
            <w:rFonts w:ascii="Times New Roman" w:hAnsi="Times New Roman" w:cs="Times New Roman"/>
            <w:b/>
            <w:noProof/>
            <w:webHidden/>
          </w:rPr>
          <w:instrText xml:space="preserve"> PAGEREF _Toc526419505 \h </w:instrText>
        </w:r>
        <w:r w:rsidR="009F3108" w:rsidRPr="009F3108">
          <w:rPr>
            <w:rFonts w:ascii="Times New Roman" w:hAnsi="Times New Roman" w:cs="Times New Roman"/>
            <w:b/>
            <w:noProof/>
            <w:webHidden/>
          </w:rPr>
        </w:r>
        <w:r w:rsidR="009F3108" w:rsidRPr="009F3108">
          <w:rPr>
            <w:rFonts w:ascii="Times New Roman" w:hAnsi="Times New Roman" w:cs="Times New Roman"/>
            <w:b/>
            <w:noProof/>
            <w:webHidden/>
          </w:rPr>
          <w:fldChar w:fldCharType="separate"/>
        </w:r>
        <w:r w:rsidR="006C20DA">
          <w:rPr>
            <w:rFonts w:ascii="Times New Roman" w:hAnsi="Times New Roman" w:cs="Times New Roman"/>
            <w:b/>
            <w:noProof/>
            <w:webHidden/>
          </w:rPr>
          <w:t>24</w:t>
        </w:r>
        <w:r w:rsidR="009F3108" w:rsidRPr="009F3108">
          <w:rPr>
            <w:rFonts w:ascii="Times New Roman" w:hAnsi="Times New Roman" w:cs="Times New Roman"/>
            <w:b/>
            <w:noProof/>
            <w:webHidden/>
          </w:rPr>
          <w:fldChar w:fldCharType="end"/>
        </w:r>
      </w:hyperlink>
    </w:p>
    <w:p w14:paraId="7D330444" w14:textId="77777777" w:rsidR="009F3108" w:rsidRPr="009F3108" w:rsidRDefault="00140881" w:rsidP="00FA779B">
      <w:pPr>
        <w:pStyle w:val="TOC1"/>
        <w:tabs>
          <w:tab w:val="right" w:leader="dot" w:pos="9062"/>
        </w:tabs>
        <w:spacing w:before="240" w:after="240" w:line="240" w:lineRule="auto"/>
        <w:rPr>
          <w:rFonts w:ascii="Times New Roman" w:hAnsi="Times New Roman" w:cs="Times New Roman"/>
          <w:b/>
          <w:noProof/>
        </w:rPr>
      </w:pPr>
      <w:hyperlink w:anchor="_Toc526419506" w:history="1">
        <w:r w:rsidR="009F3108" w:rsidRPr="009F3108">
          <w:rPr>
            <w:rStyle w:val="Hyperlink"/>
            <w:rFonts w:ascii="Times New Roman" w:hAnsi="Times New Roman"/>
            <w:b/>
            <w:smallCaps/>
            <w:noProof/>
            <w:spacing w:val="5"/>
          </w:rPr>
          <w:t xml:space="preserve">6. FINANCIJSKI NADZOR ZAKONITOSTI, PRAVILNOSTI I PRAVODOBNOSTI </w:t>
        </w:r>
        <w:r w:rsidR="00FA779B">
          <w:rPr>
            <w:rStyle w:val="Hyperlink"/>
            <w:rFonts w:ascii="Times New Roman" w:hAnsi="Times New Roman"/>
            <w:b/>
            <w:smallCaps/>
            <w:noProof/>
            <w:spacing w:val="5"/>
          </w:rPr>
          <w:t>O</w:t>
        </w:r>
        <w:r w:rsidR="009F3108" w:rsidRPr="009F3108">
          <w:rPr>
            <w:rStyle w:val="Hyperlink"/>
            <w:rFonts w:ascii="Times New Roman" w:hAnsi="Times New Roman"/>
            <w:b/>
            <w:smallCaps/>
            <w:noProof/>
            <w:spacing w:val="5"/>
          </w:rPr>
          <w:t>BRAČUNA, PRIJAVA I UPLATA NAKNADA ZA KONCESIJE</w:t>
        </w:r>
        <w:r w:rsidR="009F3108" w:rsidRPr="009F3108">
          <w:rPr>
            <w:rFonts w:ascii="Times New Roman" w:hAnsi="Times New Roman" w:cs="Times New Roman"/>
            <w:b/>
            <w:noProof/>
            <w:webHidden/>
          </w:rPr>
          <w:tab/>
        </w:r>
        <w:r w:rsidR="009F3108" w:rsidRPr="009F3108">
          <w:rPr>
            <w:rFonts w:ascii="Times New Roman" w:hAnsi="Times New Roman" w:cs="Times New Roman"/>
            <w:b/>
            <w:noProof/>
            <w:webHidden/>
          </w:rPr>
          <w:fldChar w:fldCharType="begin"/>
        </w:r>
        <w:r w:rsidR="009F3108" w:rsidRPr="009F3108">
          <w:rPr>
            <w:rFonts w:ascii="Times New Roman" w:hAnsi="Times New Roman" w:cs="Times New Roman"/>
            <w:b/>
            <w:noProof/>
            <w:webHidden/>
          </w:rPr>
          <w:instrText xml:space="preserve"> PAGEREF _Toc526419506 \h </w:instrText>
        </w:r>
        <w:r w:rsidR="009F3108" w:rsidRPr="009F3108">
          <w:rPr>
            <w:rFonts w:ascii="Times New Roman" w:hAnsi="Times New Roman" w:cs="Times New Roman"/>
            <w:b/>
            <w:noProof/>
            <w:webHidden/>
          </w:rPr>
        </w:r>
        <w:r w:rsidR="009F3108" w:rsidRPr="009F3108">
          <w:rPr>
            <w:rFonts w:ascii="Times New Roman" w:hAnsi="Times New Roman" w:cs="Times New Roman"/>
            <w:b/>
            <w:noProof/>
            <w:webHidden/>
          </w:rPr>
          <w:fldChar w:fldCharType="separate"/>
        </w:r>
        <w:r w:rsidR="006C20DA">
          <w:rPr>
            <w:rFonts w:ascii="Times New Roman" w:hAnsi="Times New Roman" w:cs="Times New Roman"/>
            <w:b/>
            <w:noProof/>
            <w:webHidden/>
          </w:rPr>
          <w:t>26</w:t>
        </w:r>
        <w:r w:rsidR="009F3108" w:rsidRPr="009F3108">
          <w:rPr>
            <w:rFonts w:ascii="Times New Roman" w:hAnsi="Times New Roman" w:cs="Times New Roman"/>
            <w:b/>
            <w:noProof/>
            <w:webHidden/>
          </w:rPr>
          <w:fldChar w:fldCharType="end"/>
        </w:r>
      </w:hyperlink>
    </w:p>
    <w:p w14:paraId="7D330445" w14:textId="77777777" w:rsidR="009F3108" w:rsidRPr="009F3108" w:rsidRDefault="00140881" w:rsidP="00FA779B">
      <w:pPr>
        <w:pStyle w:val="TOC1"/>
        <w:tabs>
          <w:tab w:val="right" w:leader="dot" w:pos="9062"/>
        </w:tabs>
        <w:spacing w:before="240" w:after="240" w:line="240" w:lineRule="auto"/>
        <w:rPr>
          <w:rFonts w:ascii="Times New Roman" w:hAnsi="Times New Roman" w:cs="Times New Roman"/>
          <w:b/>
          <w:noProof/>
        </w:rPr>
      </w:pPr>
      <w:hyperlink w:anchor="_Toc526419507" w:history="1">
        <w:r w:rsidR="009F3108" w:rsidRPr="009F3108">
          <w:rPr>
            <w:rStyle w:val="Hyperlink"/>
            <w:rFonts w:ascii="Times New Roman" w:hAnsi="Times New Roman"/>
            <w:b/>
            <w:smallCaps/>
            <w:noProof/>
            <w:spacing w:val="5"/>
          </w:rPr>
          <w:t>7. AKTIVNOSTI U DEFINIRANJU POLITIKE KONCESIJA U 201</w:t>
        </w:r>
        <w:r w:rsidR="007D201D">
          <w:rPr>
            <w:rStyle w:val="Hyperlink"/>
            <w:rFonts w:ascii="Times New Roman" w:hAnsi="Times New Roman"/>
            <w:b/>
            <w:smallCaps/>
            <w:noProof/>
            <w:spacing w:val="5"/>
          </w:rPr>
          <w:t>9</w:t>
        </w:r>
        <w:r w:rsidR="009F3108" w:rsidRPr="009F3108">
          <w:rPr>
            <w:rStyle w:val="Hyperlink"/>
            <w:rFonts w:ascii="Times New Roman" w:hAnsi="Times New Roman"/>
            <w:b/>
            <w:smallCaps/>
            <w:noProof/>
            <w:spacing w:val="5"/>
          </w:rPr>
          <w:t xml:space="preserve">. GODINI I PODUZIMANJE MJERA TIJEKOM  </w:t>
        </w:r>
        <w:r w:rsidR="007D201D">
          <w:rPr>
            <w:rStyle w:val="Hyperlink"/>
            <w:rFonts w:ascii="Times New Roman" w:hAnsi="Times New Roman"/>
            <w:b/>
            <w:smallCaps/>
            <w:noProof/>
            <w:spacing w:val="5"/>
          </w:rPr>
          <w:t>2020</w:t>
        </w:r>
        <w:r w:rsidR="009F3108" w:rsidRPr="009F3108">
          <w:rPr>
            <w:rStyle w:val="Hyperlink"/>
            <w:rFonts w:ascii="Times New Roman" w:hAnsi="Times New Roman"/>
            <w:b/>
            <w:smallCaps/>
            <w:noProof/>
            <w:spacing w:val="5"/>
          </w:rPr>
          <w:t>. GODINE U SUSTAVU KONCESIJA</w:t>
        </w:r>
        <w:r w:rsidR="009F3108" w:rsidRPr="009F3108">
          <w:rPr>
            <w:rFonts w:ascii="Times New Roman" w:hAnsi="Times New Roman" w:cs="Times New Roman"/>
            <w:b/>
            <w:noProof/>
            <w:webHidden/>
          </w:rPr>
          <w:tab/>
        </w:r>
        <w:r w:rsidR="009F3108" w:rsidRPr="009F3108">
          <w:rPr>
            <w:rFonts w:ascii="Times New Roman" w:hAnsi="Times New Roman" w:cs="Times New Roman"/>
            <w:b/>
            <w:noProof/>
            <w:webHidden/>
          </w:rPr>
          <w:fldChar w:fldCharType="begin"/>
        </w:r>
        <w:r w:rsidR="009F3108" w:rsidRPr="009F3108">
          <w:rPr>
            <w:rFonts w:ascii="Times New Roman" w:hAnsi="Times New Roman" w:cs="Times New Roman"/>
            <w:b/>
            <w:noProof/>
            <w:webHidden/>
          </w:rPr>
          <w:instrText xml:space="preserve"> PAGEREF _Toc526419507 \h </w:instrText>
        </w:r>
        <w:r w:rsidR="009F3108" w:rsidRPr="009F3108">
          <w:rPr>
            <w:rFonts w:ascii="Times New Roman" w:hAnsi="Times New Roman" w:cs="Times New Roman"/>
            <w:b/>
            <w:noProof/>
            <w:webHidden/>
          </w:rPr>
        </w:r>
        <w:r w:rsidR="009F3108" w:rsidRPr="009F3108">
          <w:rPr>
            <w:rFonts w:ascii="Times New Roman" w:hAnsi="Times New Roman" w:cs="Times New Roman"/>
            <w:b/>
            <w:noProof/>
            <w:webHidden/>
          </w:rPr>
          <w:fldChar w:fldCharType="separate"/>
        </w:r>
        <w:r w:rsidR="006C20DA">
          <w:rPr>
            <w:rFonts w:ascii="Times New Roman" w:hAnsi="Times New Roman" w:cs="Times New Roman"/>
            <w:b/>
            <w:noProof/>
            <w:webHidden/>
          </w:rPr>
          <w:t>27</w:t>
        </w:r>
        <w:r w:rsidR="009F3108" w:rsidRPr="009F3108">
          <w:rPr>
            <w:rFonts w:ascii="Times New Roman" w:hAnsi="Times New Roman" w:cs="Times New Roman"/>
            <w:b/>
            <w:noProof/>
            <w:webHidden/>
          </w:rPr>
          <w:fldChar w:fldCharType="end"/>
        </w:r>
      </w:hyperlink>
    </w:p>
    <w:p w14:paraId="7D330446" w14:textId="77777777" w:rsidR="00911414" w:rsidRPr="00235530" w:rsidRDefault="009F3108" w:rsidP="00FA779B">
      <w:pPr>
        <w:pStyle w:val="Heading1"/>
        <w:spacing w:before="240" w:after="240" w:line="240" w:lineRule="auto"/>
        <w:rPr>
          <w:rFonts w:ascii="Times New Roman" w:hAnsi="Times New Roman"/>
          <w:b w:val="0"/>
          <w:bCs w:val="0"/>
          <w:lang w:eastAsia="hr-HR"/>
        </w:rPr>
      </w:pPr>
      <w:r w:rsidRPr="009F3108">
        <w:rPr>
          <w:rFonts w:ascii="Times New Roman" w:hAnsi="Times New Roman" w:cs="Times New Roman"/>
          <w:bCs w:val="0"/>
          <w:lang w:eastAsia="hr-HR"/>
        </w:rPr>
        <w:fldChar w:fldCharType="end"/>
      </w:r>
    </w:p>
    <w:p w14:paraId="7D330447" w14:textId="77777777" w:rsidR="00911414" w:rsidRPr="00235530" w:rsidRDefault="00911414" w:rsidP="00DE622E">
      <w:pPr>
        <w:spacing w:after="0" w:line="240" w:lineRule="auto"/>
        <w:rPr>
          <w:rFonts w:ascii="Times New Roman" w:hAnsi="Times New Roman"/>
          <w:b/>
          <w:bCs/>
          <w:lang w:eastAsia="hr-HR"/>
        </w:rPr>
      </w:pPr>
    </w:p>
    <w:p w14:paraId="7D330448" w14:textId="77777777" w:rsidR="00911414" w:rsidRPr="00235530" w:rsidRDefault="00911414" w:rsidP="00995044">
      <w:pPr>
        <w:spacing w:after="0" w:line="240" w:lineRule="auto"/>
        <w:rPr>
          <w:rFonts w:ascii="Times New Roman" w:hAnsi="Times New Roman"/>
          <w:b/>
          <w:bCs/>
          <w:lang w:eastAsia="hr-HR"/>
        </w:rPr>
      </w:pPr>
    </w:p>
    <w:p w14:paraId="7D330449" w14:textId="77777777" w:rsidR="00911414" w:rsidRPr="00235530" w:rsidRDefault="00911414" w:rsidP="00995044">
      <w:pPr>
        <w:spacing w:after="0" w:line="240" w:lineRule="auto"/>
        <w:jc w:val="both"/>
        <w:rPr>
          <w:rFonts w:ascii="Times New Roman" w:hAnsi="Times New Roman"/>
          <w:lang w:eastAsia="hr-HR"/>
        </w:rPr>
      </w:pPr>
    </w:p>
    <w:p w14:paraId="7D33044A" w14:textId="77777777" w:rsidR="00911414" w:rsidRPr="00235530" w:rsidRDefault="00911414" w:rsidP="00995044">
      <w:pPr>
        <w:spacing w:after="0" w:line="240" w:lineRule="auto"/>
        <w:jc w:val="both"/>
        <w:rPr>
          <w:rFonts w:ascii="Times New Roman" w:hAnsi="Times New Roman"/>
          <w:lang w:eastAsia="hr-HR"/>
        </w:rPr>
      </w:pPr>
    </w:p>
    <w:p w14:paraId="7D33044B" w14:textId="77777777" w:rsidR="00911414" w:rsidRPr="00235530" w:rsidRDefault="00911414" w:rsidP="00995044">
      <w:pPr>
        <w:spacing w:after="0" w:line="240" w:lineRule="auto"/>
        <w:jc w:val="both"/>
        <w:rPr>
          <w:rFonts w:ascii="Times New Roman" w:hAnsi="Times New Roman"/>
          <w:lang w:eastAsia="hr-HR"/>
        </w:rPr>
      </w:pPr>
    </w:p>
    <w:p w14:paraId="7D33044C" w14:textId="77777777" w:rsidR="00911414" w:rsidRPr="00235530" w:rsidRDefault="00911414" w:rsidP="00995044">
      <w:pPr>
        <w:spacing w:after="0" w:line="240" w:lineRule="auto"/>
        <w:jc w:val="both"/>
        <w:rPr>
          <w:rFonts w:ascii="Times New Roman" w:hAnsi="Times New Roman"/>
          <w:lang w:eastAsia="hr-HR"/>
        </w:rPr>
      </w:pPr>
    </w:p>
    <w:p w14:paraId="7D33044D" w14:textId="77777777" w:rsidR="00911414" w:rsidRPr="00235530" w:rsidRDefault="00911414" w:rsidP="00995044">
      <w:pPr>
        <w:spacing w:after="0" w:line="240" w:lineRule="auto"/>
        <w:jc w:val="both"/>
        <w:rPr>
          <w:rFonts w:ascii="Times New Roman" w:hAnsi="Times New Roman"/>
          <w:lang w:eastAsia="hr-HR"/>
        </w:rPr>
      </w:pPr>
    </w:p>
    <w:p w14:paraId="7D33044E" w14:textId="77777777" w:rsidR="00911414" w:rsidRPr="00235530" w:rsidRDefault="00911414" w:rsidP="00995044">
      <w:pPr>
        <w:spacing w:after="0" w:line="240" w:lineRule="auto"/>
        <w:jc w:val="both"/>
        <w:rPr>
          <w:rFonts w:ascii="Times New Roman" w:hAnsi="Times New Roman"/>
          <w:lang w:eastAsia="hr-HR"/>
        </w:rPr>
      </w:pPr>
    </w:p>
    <w:p w14:paraId="7D33044F" w14:textId="77777777" w:rsidR="00911414" w:rsidRPr="00235530" w:rsidRDefault="00911414" w:rsidP="00995044">
      <w:pPr>
        <w:spacing w:after="0" w:line="240" w:lineRule="auto"/>
        <w:jc w:val="both"/>
        <w:rPr>
          <w:rFonts w:ascii="Times New Roman" w:hAnsi="Times New Roman"/>
          <w:lang w:eastAsia="hr-HR"/>
        </w:rPr>
      </w:pPr>
    </w:p>
    <w:p w14:paraId="7D330450" w14:textId="77777777" w:rsidR="00911414" w:rsidRPr="00235530" w:rsidRDefault="00911414" w:rsidP="00995044">
      <w:pPr>
        <w:spacing w:after="0" w:line="240" w:lineRule="auto"/>
        <w:jc w:val="both"/>
        <w:rPr>
          <w:rFonts w:ascii="Times New Roman" w:hAnsi="Times New Roman"/>
          <w:lang w:eastAsia="hr-HR"/>
        </w:rPr>
      </w:pPr>
    </w:p>
    <w:p w14:paraId="7D330451" w14:textId="77777777" w:rsidR="00911414" w:rsidRPr="00235530" w:rsidRDefault="00911414" w:rsidP="00995044">
      <w:pPr>
        <w:spacing w:after="0" w:line="240" w:lineRule="auto"/>
        <w:jc w:val="both"/>
        <w:rPr>
          <w:rFonts w:ascii="Times New Roman" w:hAnsi="Times New Roman"/>
          <w:lang w:eastAsia="hr-HR"/>
        </w:rPr>
      </w:pPr>
    </w:p>
    <w:p w14:paraId="7D330452" w14:textId="77777777" w:rsidR="00911414" w:rsidRPr="00235530" w:rsidRDefault="00911414" w:rsidP="00995044">
      <w:pPr>
        <w:spacing w:after="0" w:line="240" w:lineRule="auto"/>
        <w:jc w:val="both"/>
        <w:rPr>
          <w:rFonts w:ascii="Times New Roman" w:hAnsi="Times New Roman"/>
          <w:lang w:eastAsia="hr-HR"/>
        </w:rPr>
      </w:pPr>
    </w:p>
    <w:p w14:paraId="7D330453" w14:textId="77777777" w:rsidR="00911414" w:rsidRPr="00235530" w:rsidRDefault="00911414" w:rsidP="00995044">
      <w:pPr>
        <w:spacing w:after="0" w:line="240" w:lineRule="auto"/>
        <w:jc w:val="both"/>
        <w:rPr>
          <w:rFonts w:ascii="Times New Roman" w:hAnsi="Times New Roman"/>
          <w:lang w:eastAsia="hr-HR"/>
        </w:rPr>
      </w:pPr>
    </w:p>
    <w:p w14:paraId="7D330454" w14:textId="77777777" w:rsidR="00911414" w:rsidRPr="00235530" w:rsidRDefault="00911414" w:rsidP="00995044">
      <w:pPr>
        <w:spacing w:after="0" w:line="240" w:lineRule="auto"/>
        <w:jc w:val="both"/>
        <w:rPr>
          <w:rFonts w:ascii="Times New Roman" w:hAnsi="Times New Roman"/>
          <w:lang w:eastAsia="hr-HR"/>
        </w:rPr>
      </w:pPr>
    </w:p>
    <w:p w14:paraId="7D330455" w14:textId="77777777" w:rsidR="00911414" w:rsidRPr="00235530" w:rsidRDefault="00911414" w:rsidP="00995044">
      <w:pPr>
        <w:spacing w:after="0" w:line="240" w:lineRule="auto"/>
        <w:jc w:val="both"/>
        <w:rPr>
          <w:rFonts w:ascii="Times New Roman" w:hAnsi="Times New Roman"/>
          <w:lang w:eastAsia="hr-HR"/>
        </w:rPr>
      </w:pPr>
    </w:p>
    <w:p w14:paraId="7D330456" w14:textId="77777777" w:rsidR="00911414" w:rsidRPr="00235530" w:rsidRDefault="00911414" w:rsidP="00995044">
      <w:pPr>
        <w:spacing w:after="0" w:line="240" w:lineRule="auto"/>
        <w:jc w:val="both"/>
        <w:rPr>
          <w:rFonts w:ascii="Times New Roman" w:hAnsi="Times New Roman"/>
          <w:lang w:eastAsia="hr-HR"/>
        </w:rPr>
      </w:pPr>
    </w:p>
    <w:p w14:paraId="7D330457" w14:textId="77777777" w:rsidR="00911414" w:rsidRPr="00235530" w:rsidRDefault="00911414" w:rsidP="00995044">
      <w:pPr>
        <w:spacing w:after="0" w:line="240" w:lineRule="auto"/>
        <w:jc w:val="both"/>
        <w:rPr>
          <w:rFonts w:ascii="Times New Roman" w:hAnsi="Times New Roman"/>
          <w:lang w:eastAsia="hr-HR"/>
        </w:rPr>
      </w:pPr>
    </w:p>
    <w:p w14:paraId="7D330458" w14:textId="77777777" w:rsidR="00911414" w:rsidRPr="00235530" w:rsidRDefault="00911414" w:rsidP="00995044">
      <w:pPr>
        <w:spacing w:after="0" w:line="240" w:lineRule="auto"/>
        <w:jc w:val="both"/>
        <w:rPr>
          <w:rFonts w:ascii="Times New Roman" w:hAnsi="Times New Roman"/>
          <w:lang w:eastAsia="hr-HR"/>
        </w:rPr>
      </w:pPr>
    </w:p>
    <w:p w14:paraId="7D330459" w14:textId="77777777" w:rsidR="00911414" w:rsidRPr="00235530" w:rsidRDefault="00911414" w:rsidP="00995044">
      <w:pPr>
        <w:spacing w:after="0" w:line="240" w:lineRule="auto"/>
        <w:jc w:val="both"/>
        <w:rPr>
          <w:rFonts w:ascii="Times New Roman" w:hAnsi="Times New Roman"/>
          <w:lang w:eastAsia="hr-HR"/>
        </w:rPr>
      </w:pPr>
    </w:p>
    <w:p w14:paraId="7D33045A" w14:textId="77777777" w:rsidR="00911414" w:rsidRPr="00235530" w:rsidRDefault="00911414" w:rsidP="00995044">
      <w:pPr>
        <w:spacing w:after="0" w:line="240" w:lineRule="auto"/>
        <w:jc w:val="both"/>
        <w:rPr>
          <w:rFonts w:ascii="Times New Roman" w:hAnsi="Times New Roman"/>
          <w:lang w:eastAsia="hr-HR"/>
        </w:rPr>
      </w:pPr>
    </w:p>
    <w:p w14:paraId="7D33045B" w14:textId="77777777" w:rsidR="00911414" w:rsidRPr="00235530" w:rsidRDefault="00911414" w:rsidP="00995044">
      <w:pPr>
        <w:spacing w:after="0" w:line="240" w:lineRule="auto"/>
        <w:jc w:val="both"/>
        <w:rPr>
          <w:rFonts w:ascii="Times New Roman" w:hAnsi="Times New Roman"/>
          <w:lang w:eastAsia="hr-HR"/>
        </w:rPr>
      </w:pPr>
    </w:p>
    <w:p w14:paraId="7D33045C" w14:textId="77777777" w:rsidR="00911414" w:rsidRPr="00235530" w:rsidRDefault="00911414" w:rsidP="00995044">
      <w:pPr>
        <w:spacing w:after="0" w:line="240" w:lineRule="auto"/>
        <w:jc w:val="both"/>
        <w:rPr>
          <w:rFonts w:ascii="Times New Roman" w:hAnsi="Times New Roman"/>
          <w:lang w:eastAsia="hr-HR"/>
        </w:rPr>
      </w:pPr>
    </w:p>
    <w:p w14:paraId="7D33045D" w14:textId="77777777" w:rsidR="00911414" w:rsidRPr="00235530" w:rsidRDefault="00911414" w:rsidP="00995044">
      <w:pPr>
        <w:spacing w:after="0" w:line="240" w:lineRule="auto"/>
        <w:jc w:val="both"/>
        <w:rPr>
          <w:rFonts w:ascii="Times New Roman" w:hAnsi="Times New Roman"/>
          <w:lang w:eastAsia="hr-HR"/>
        </w:rPr>
      </w:pPr>
    </w:p>
    <w:p w14:paraId="7D33045E" w14:textId="77777777" w:rsidR="00911414" w:rsidRPr="00235530" w:rsidRDefault="00911414" w:rsidP="00995044">
      <w:pPr>
        <w:spacing w:after="0" w:line="240" w:lineRule="auto"/>
        <w:jc w:val="both"/>
        <w:rPr>
          <w:rFonts w:ascii="Times New Roman" w:hAnsi="Times New Roman"/>
          <w:lang w:eastAsia="hr-HR"/>
        </w:rPr>
      </w:pPr>
    </w:p>
    <w:p w14:paraId="7D33045F" w14:textId="77777777" w:rsidR="00911414" w:rsidRPr="00235530" w:rsidRDefault="00911414" w:rsidP="00995044">
      <w:pPr>
        <w:spacing w:after="0" w:line="240" w:lineRule="auto"/>
        <w:jc w:val="both"/>
        <w:rPr>
          <w:rFonts w:ascii="Times New Roman" w:hAnsi="Times New Roman"/>
          <w:lang w:eastAsia="hr-HR"/>
        </w:rPr>
      </w:pPr>
    </w:p>
    <w:p w14:paraId="7D330460" w14:textId="77777777" w:rsidR="00911414" w:rsidRPr="00235530" w:rsidRDefault="00911414" w:rsidP="00995044">
      <w:pPr>
        <w:spacing w:after="0" w:line="240" w:lineRule="auto"/>
        <w:jc w:val="both"/>
        <w:rPr>
          <w:rFonts w:ascii="Times New Roman" w:hAnsi="Times New Roman"/>
          <w:lang w:eastAsia="hr-HR"/>
        </w:rPr>
      </w:pPr>
    </w:p>
    <w:p w14:paraId="7D330461" w14:textId="77777777" w:rsidR="00911414" w:rsidRPr="00235530" w:rsidRDefault="00911414" w:rsidP="00995044">
      <w:pPr>
        <w:spacing w:after="0" w:line="240" w:lineRule="auto"/>
        <w:jc w:val="both"/>
        <w:rPr>
          <w:rFonts w:ascii="Times New Roman" w:hAnsi="Times New Roman"/>
          <w:lang w:eastAsia="hr-HR"/>
        </w:rPr>
      </w:pPr>
    </w:p>
    <w:p w14:paraId="7D330462" w14:textId="77777777" w:rsidR="00911414" w:rsidRPr="00235530" w:rsidRDefault="00911414" w:rsidP="00995044">
      <w:pPr>
        <w:spacing w:after="0" w:line="240" w:lineRule="auto"/>
        <w:jc w:val="both"/>
        <w:rPr>
          <w:rFonts w:ascii="Times New Roman" w:hAnsi="Times New Roman"/>
          <w:lang w:eastAsia="hr-HR"/>
        </w:rPr>
      </w:pPr>
    </w:p>
    <w:p w14:paraId="7D330463" w14:textId="77777777" w:rsidR="00711887" w:rsidRDefault="00711887" w:rsidP="00995044">
      <w:pPr>
        <w:spacing w:after="0" w:line="240" w:lineRule="auto"/>
        <w:jc w:val="both"/>
        <w:rPr>
          <w:rFonts w:ascii="Times New Roman" w:hAnsi="Times New Roman"/>
          <w:lang w:eastAsia="hr-HR"/>
        </w:rPr>
      </w:pPr>
    </w:p>
    <w:p w14:paraId="7D330464" w14:textId="77777777" w:rsidR="00FC658F" w:rsidRDefault="00FC658F" w:rsidP="00995044">
      <w:pPr>
        <w:spacing w:after="0" w:line="240" w:lineRule="auto"/>
        <w:jc w:val="both"/>
        <w:rPr>
          <w:rFonts w:ascii="Times New Roman" w:hAnsi="Times New Roman"/>
          <w:lang w:eastAsia="hr-HR"/>
        </w:rPr>
      </w:pPr>
    </w:p>
    <w:p w14:paraId="7D330465" w14:textId="77777777" w:rsidR="00911414" w:rsidRDefault="00911414" w:rsidP="00995044">
      <w:pPr>
        <w:spacing w:after="0" w:line="240" w:lineRule="auto"/>
        <w:jc w:val="both"/>
        <w:rPr>
          <w:rFonts w:ascii="Times New Roman" w:hAnsi="Times New Roman"/>
          <w:lang w:eastAsia="hr-HR"/>
        </w:rPr>
      </w:pPr>
    </w:p>
    <w:p w14:paraId="7D330466" w14:textId="77777777" w:rsidR="006409A4" w:rsidRPr="00235530" w:rsidRDefault="006409A4" w:rsidP="00995044">
      <w:pPr>
        <w:spacing w:after="0" w:line="240" w:lineRule="auto"/>
        <w:jc w:val="both"/>
        <w:rPr>
          <w:rFonts w:ascii="Times New Roman" w:hAnsi="Times New Roman"/>
          <w:lang w:eastAsia="hr-HR"/>
        </w:rPr>
      </w:pPr>
    </w:p>
    <w:p w14:paraId="7D330467" w14:textId="77777777" w:rsidR="00AF1895" w:rsidRPr="00235530" w:rsidRDefault="00AF1895" w:rsidP="00AF1895">
      <w:pPr>
        <w:spacing w:after="0" w:line="240" w:lineRule="auto"/>
        <w:rPr>
          <w:rFonts w:ascii="Times New Roman" w:hAnsi="Times New Roman"/>
          <w:lang w:eastAsia="hr-HR"/>
        </w:rPr>
      </w:pPr>
    </w:p>
    <w:p w14:paraId="7D330468" w14:textId="77777777" w:rsidR="00711887" w:rsidRPr="00235530" w:rsidRDefault="00711887" w:rsidP="00AF1895">
      <w:pPr>
        <w:spacing w:after="0" w:line="240" w:lineRule="auto"/>
        <w:jc w:val="center"/>
        <w:rPr>
          <w:rFonts w:ascii="Times New Roman" w:hAnsi="Times New Roman"/>
          <w:b/>
          <w:i/>
          <w:lang w:eastAsia="hr-HR"/>
        </w:rPr>
      </w:pPr>
    </w:p>
    <w:p w14:paraId="7D330469" w14:textId="77777777" w:rsidR="00911414" w:rsidRPr="00A86179" w:rsidRDefault="00911414" w:rsidP="00AF1895">
      <w:pPr>
        <w:spacing w:after="0" w:line="240" w:lineRule="auto"/>
        <w:jc w:val="center"/>
        <w:rPr>
          <w:rFonts w:ascii="Times New Roman" w:hAnsi="Times New Roman"/>
          <w:b/>
          <w:i/>
          <w:lang w:eastAsia="hr-HR"/>
        </w:rPr>
      </w:pPr>
      <w:r w:rsidRPr="00A86179">
        <w:rPr>
          <w:rFonts w:ascii="Times New Roman" w:hAnsi="Times New Roman"/>
          <w:b/>
          <w:i/>
          <w:lang w:eastAsia="hr-HR"/>
        </w:rPr>
        <w:t>OPERATIVNI SAŽETAK</w:t>
      </w:r>
    </w:p>
    <w:p w14:paraId="7D33046A" w14:textId="77777777" w:rsidR="00911414" w:rsidRPr="00A86179" w:rsidRDefault="00911414" w:rsidP="009400F7">
      <w:pPr>
        <w:spacing w:after="0" w:line="240" w:lineRule="auto"/>
        <w:jc w:val="both"/>
        <w:rPr>
          <w:rFonts w:ascii="Times New Roman" w:hAnsi="Times New Roman"/>
          <w:i/>
          <w:lang w:eastAsia="hr-HR"/>
        </w:rPr>
      </w:pPr>
    </w:p>
    <w:p w14:paraId="7D33046B" w14:textId="77777777" w:rsidR="00911414" w:rsidRPr="00A86179" w:rsidRDefault="00911414" w:rsidP="009400F7">
      <w:pPr>
        <w:spacing w:after="0" w:line="240" w:lineRule="auto"/>
        <w:jc w:val="both"/>
        <w:rPr>
          <w:rFonts w:ascii="Times New Roman" w:hAnsi="Times New Roman"/>
          <w:i/>
          <w:lang w:eastAsia="hr-HR"/>
        </w:rPr>
      </w:pPr>
    </w:p>
    <w:p w14:paraId="7D33046C" w14:textId="77777777" w:rsidR="000A5334" w:rsidRPr="00A86179" w:rsidRDefault="00911414" w:rsidP="009400F7">
      <w:pPr>
        <w:spacing w:after="0" w:line="240" w:lineRule="auto"/>
        <w:jc w:val="both"/>
        <w:rPr>
          <w:rFonts w:ascii="Times New Roman" w:hAnsi="Times New Roman"/>
          <w:i/>
          <w:lang w:eastAsia="hr-HR"/>
        </w:rPr>
      </w:pPr>
      <w:r w:rsidRPr="00A86179">
        <w:rPr>
          <w:rFonts w:ascii="Times New Roman" w:hAnsi="Times New Roman"/>
          <w:i/>
          <w:lang w:eastAsia="hr-HR"/>
        </w:rPr>
        <w:t xml:space="preserve">Ministarstvo financija kao nositelj politike koncesija u suradnji s ostalim sudionicima sustava </w:t>
      </w:r>
      <w:r w:rsidR="00593784" w:rsidRPr="00A86179">
        <w:rPr>
          <w:rFonts w:ascii="Times New Roman" w:hAnsi="Times New Roman"/>
          <w:i/>
          <w:lang w:eastAsia="hr-HR"/>
        </w:rPr>
        <w:t xml:space="preserve">kontinuirano </w:t>
      </w:r>
      <w:r w:rsidRPr="00A86179">
        <w:rPr>
          <w:rFonts w:ascii="Times New Roman" w:hAnsi="Times New Roman"/>
          <w:i/>
          <w:lang w:eastAsia="hr-HR"/>
        </w:rPr>
        <w:t xml:space="preserve">gradi stabilan i učinkovit sustav koncesija. U tom smislu Ministarstvo financija dostavlja Vladi RH jedanput godišnje, za prethodnu godinu, izvješće o provedenoj politici koncesija. </w:t>
      </w:r>
    </w:p>
    <w:p w14:paraId="7D33046D" w14:textId="77777777" w:rsidR="00800404" w:rsidRPr="00A86179" w:rsidRDefault="00800404" w:rsidP="009400F7">
      <w:pPr>
        <w:spacing w:after="0" w:line="240" w:lineRule="auto"/>
        <w:jc w:val="both"/>
        <w:rPr>
          <w:rFonts w:ascii="Times New Roman" w:hAnsi="Times New Roman"/>
          <w:i/>
          <w:lang w:eastAsia="hr-HR"/>
        </w:rPr>
      </w:pPr>
    </w:p>
    <w:p w14:paraId="7D33046E" w14:textId="77777777" w:rsidR="00911414" w:rsidRPr="00A86179" w:rsidRDefault="00911414" w:rsidP="009400F7">
      <w:pPr>
        <w:spacing w:after="0" w:line="240" w:lineRule="auto"/>
        <w:jc w:val="both"/>
        <w:rPr>
          <w:rFonts w:ascii="Times New Roman" w:hAnsi="Times New Roman"/>
          <w:i/>
          <w:lang w:eastAsia="hr-HR"/>
        </w:rPr>
      </w:pPr>
      <w:r w:rsidRPr="00A86179">
        <w:rPr>
          <w:rFonts w:ascii="Times New Roman" w:hAnsi="Times New Roman"/>
          <w:i/>
          <w:lang w:eastAsia="hr-HR"/>
        </w:rPr>
        <w:t xml:space="preserve">Sukladno članku </w:t>
      </w:r>
      <w:r w:rsidR="00873AB6" w:rsidRPr="00A86179">
        <w:rPr>
          <w:rFonts w:ascii="Times New Roman" w:hAnsi="Times New Roman"/>
          <w:i/>
          <w:lang w:eastAsia="hr-HR"/>
        </w:rPr>
        <w:t>74. stavku 1. Zakona o koncesijama (Narodne novine, broj 69/17)</w:t>
      </w:r>
      <w:r w:rsidRPr="00A86179">
        <w:rPr>
          <w:rFonts w:ascii="Times New Roman" w:hAnsi="Times New Roman"/>
          <w:i/>
          <w:lang w:eastAsia="hr-HR"/>
        </w:rPr>
        <w:t xml:space="preserve"> politika koncesija predstavlja sve mjere i aktivnosti usmjerene uspostavi i održanju učinkovitog sustava davanja koncesija, a osobito nadzor nad provedbom ugovora o koncesijama, vođenje registra koncesija, sudjelovanje predstavnika Ministarstva financija u postupcima davanja koncesija, praćenje provedbe ugovora o koncesijama s obilježjima javno-privatnog partnerstva, edukaciju, te praćenje međunarodne prakse iz područja koncesija. </w:t>
      </w:r>
    </w:p>
    <w:p w14:paraId="7D33046F" w14:textId="77777777" w:rsidR="00911414" w:rsidRPr="00A86179" w:rsidRDefault="00911414" w:rsidP="009400F7">
      <w:pPr>
        <w:spacing w:after="0" w:line="240" w:lineRule="auto"/>
        <w:jc w:val="both"/>
        <w:rPr>
          <w:rFonts w:ascii="Times New Roman" w:hAnsi="Times New Roman"/>
          <w:bCs/>
          <w:i/>
          <w:lang w:eastAsia="hr-HR"/>
        </w:rPr>
      </w:pPr>
    </w:p>
    <w:p w14:paraId="7D330470" w14:textId="77777777" w:rsidR="00911414" w:rsidRPr="00A86179" w:rsidRDefault="00482002" w:rsidP="009400F7">
      <w:pPr>
        <w:spacing w:after="0" w:line="240" w:lineRule="auto"/>
        <w:jc w:val="both"/>
        <w:rPr>
          <w:rFonts w:ascii="Times New Roman" w:hAnsi="Times New Roman"/>
          <w:bCs/>
          <w:i/>
          <w:lang w:eastAsia="hr-HR"/>
        </w:rPr>
      </w:pPr>
      <w:r w:rsidRPr="00A86179">
        <w:rPr>
          <w:rFonts w:ascii="Times New Roman" w:hAnsi="Times New Roman"/>
          <w:i/>
          <w:lang w:eastAsia="hr-HR"/>
        </w:rPr>
        <w:t xml:space="preserve">Ministarstvo financija </w:t>
      </w:r>
      <w:r>
        <w:rPr>
          <w:rFonts w:ascii="Times New Roman" w:hAnsi="Times New Roman"/>
          <w:i/>
          <w:lang w:eastAsia="hr-HR"/>
        </w:rPr>
        <w:t>je, u</w:t>
      </w:r>
      <w:r w:rsidR="00911414" w:rsidRPr="00A86179">
        <w:rPr>
          <w:rFonts w:ascii="Times New Roman" w:hAnsi="Times New Roman"/>
          <w:i/>
          <w:lang w:eastAsia="hr-HR"/>
        </w:rPr>
        <w:t xml:space="preserve"> okviru zakonskog okvira o koncesijama</w:t>
      </w:r>
      <w:r w:rsidR="00873AB6" w:rsidRPr="00A86179">
        <w:rPr>
          <w:rFonts w:ascii="Times New Roman" w:hAnsi="Times New Roman"/>
          <w:i/>
          <w:lang w:eastAsia="hr-HR"/>
        </w:rPr>
        <w:t>,</w:t>
      </w:r>
      <w:r w:rsidR="00911414" w:rsidRPr="00A86179">
        <w:rPr>
          <w:rFonts w:ascii="Times New Roman" w:hAnsi="Times New Roman"/>
          <w:i/>
          <w:lang w:eastAsia="hr-HR"/>
        </w:rPr>
        <w:t xml:space="preserve"> određeno središnjim  koordinativnim i nadzornim tijelom za koncesije u Republici Hrvatskoj. Poduzimanjem mjera iz nadležnosti Ministarstva financija i u suradnji s ostalim davateljima koncesija proveden je niz aktivnosti usmjerenih jačanju sustava koncesija i postizanju njegove veće efikasnosti. </w:t>
      </w:r>
    </w:p>
    <w:p w14:paraId="7D330471" w14:textId="77777777" w:rsidR="00911414" w:rsidRPr="00A86179" w:rsidRDefault="00911414" w:rsidP="009400F7">
      <w:pPr>
        <w:spacing w:after="0" w:line="240" w:lineRule="auto"/>
        <w:jc w:val="both"/>
        <w:rPr>
          <w:rFonts w:ascii="Times New Roman" w:hAnsi="Times New Roman"/>
          <w:i/>
          <w:lang w:eastAsia="hr-HR"/>
        </w:rPr>
      </w:pPr>
    </w:p>
    <w:p w14:paraId="7D330472" w14:textId="77777777" w:rsidR="00911414" w:rsidRPr="00A86179" w:rsidRDefault="00911414" w:rsidP="009400F7">
      <w:pPr>
        <w:spacing w:after="0" w:line="240" w:lineRule="auto"/>
        <w:jc w:val="both"/>
        <w:rPr>
          <w:rFonts w:ascii="Times New Roman" w:hAnsi="Times New Roman"/>
          <w:i/>
          <w:lang w:eastAsia="hr-HR"/>
        </w:rPr>
      </w:pPr>
      <w:r w:rsidRPr="00A86179">
        <w:rPr>
          <w:rFonts w:ascii="Times New Roman" w:hAnsi="Times New Roman"/>
          <w:i/>
          <w:lang w:eastAsia="hr-HR"/>
        </w:rPr>
        <w:t>Budući da je davanje koncesija složen proces koji zahtjeva adekvatna znanja i jasno određenje postupanja, kao glavnu poveznicu sustava dostupnu svim davateljima koncesija određuje se Registar koncesija (RK). Registar koncesija je glavna poveznica u sustavu koncesija između davatelja koncesija, koncesionara i Ministarstva financija, koji pruža uvid u stanje svakog Ugovora o koncesiji radi provođenja kontrole i nadzora nad svim koncesijama danima na području RH.</w:t>
      </w:r>
    </w:p>
    <w:p w14:paraId="7D330473" w14:textId="77777777" w:rsidR="00911414" w:rsidRPr="00A86179" w:rsidRDefault="00911414" w:rsidP="009400F7">
      <w:pPr>
        <w:spacing w:after="0" w:line="240" w:lineRule="auto"/>
        <w:jc w:val="both"/>
        <w:rPr>
          <w:rFonts w:ascii="Times New Roman" w:hAnsi="Times New Roman"/>
          <w:i/>
          <w:lang w:eastAsia="hr-HR"/>
        </w:rPr>
      </w:pPr>
    </w:p>
    <w:p w14:paraId="7D330474" w14:textId="77777777" w:rsidR="00911414" w:rsidRPr="00A86179" w:rsidRDefault="00911414" w:rsidP="009400F7">
      <w:pPr>
        <w:spacing w:after="0" w:line="240" w:lineRule="auto"/>
        <w:jc w:val="both"/>
        <w:rPr>
          <w:rFonts w:ascii="Times New Roman" w:hAnsi="Times New Roman"/>
          <w:i/>
          <w:lang w:eastAsia="hr-HR"/>
        </w:rPr>
      </w:pPr>
      <w:r w:rsidRPr="00A86179">
        <w:rPr>
          <w:rFonts w:ascii="Times New Roman" w:hAnsi="Times New Roman"/>
          <w:i/>
          <w:lang w:eastAsia="hr-HR"/>
        </w:rPr>
        <w:t xml:space="preserve">Tijekom </w:t>
      </w:r>
      <w:r w:rsidR="000A5334" w:rsidRPr="00A86179">
        <w:rPr>
          <w:rFonts w:ascii="Times New Roman" w:hAnsi="Times New Roman"/>
          <w:i/>
          <w:lang w:eastAsia="hr-HR"/>
        </w:rPr>
        <w:t>201</w:t>
      </w:r>
      <w:r w:rsidR="00593784">
        <w:rPr>
          <w:rFonts w:ascii="Times New Roman" w:hAnsi="Times New Roman"/>
          <w:i/>
          <w:lang w:eastAsia="hr-HR"/>
        </w:rPr>
        <w:t>9</w:t>
      </w:r>
      <w:r w:rsidR="007D5EDE" w:rsidRPr="00A86179">
        <w:rPr>
          <w:rFonts w:ascii="Times New Roman" w:hAnsi="Times New Roman"/>
          <w:i/>
          <w:lang w:eastAsia="hr-HR"/>
        </w:rPr>
        <w:t xml:space="preserve">. </w:t>
      </w:r>
      <w:r w:rsidRPr="00A86179">
        <w:rPr>
          <w:rFonts w:ascii="Times New Roman" w:hAnsi="Times New Roman"/>
          <w:i/>
          <w:lang w:eastAsia="hr-HR"/>
        </w:rPr>
        <w:t xml:space="preserve">godine </w:t>
      </w:r>
      <w:r w:rsidR="00C24C21" w:rsidRPr="00A86179">
        <w:rPr>
          <w:rFonts w:ascii="Times New Roman" w:hAnsi="Times New Roman"/>
          <w:i/>
          <w:lang w:eastAsia="hr-HR"/>
        </w:rPr>
        <w:t>poslovi iz područja politike koncesija</w:t>
      </w:r>
      <w:r w:rsidRPr="00A86179">
        <w:rPr>
          <w:rFonts w:ascii="Times New Roman" w:hAnsi="Times New Roman"/>
          <w:i/>
          <w:lang w:eastAsia="hr-HR"/>
        </w:rPr>
        <w:t xml:space="preserve"> bil</w:t>
      </w:r>
      <w:r w:rsidR="00873AB6" w:rsidRPr="00A86179">
        <w:rPr>
          <w:rFonts w:ascii="Times New Roman" w:hAnsi="Times New Roman"/>
          <w:i/>
          <w:lang w:eastAsia="hr-HR"/>
        </w:rPr>
        <w:t>i</w:t>
      </w:r>
      <w:r w:rsidRPr="00A86179">
        <w:rPr>
          <w:rFonts w:ascii="Times New Roman" w:hAnsi="Times New Roman"/>
          <w:i/>
          <w:lang w:eastAsia="hr-HR"/>
        </w:rPr>
        <w:t xml:space="preserve"> </w:t>
      </w:r>
      <w:r w:rsidR="00C24C21" w:rsidRPr="00A86179">
        <w:rPr>
          <w:rFonts w:ascii="Times New Roman" w:hAnsi="Times New Roman"/>
          <w:i/>
          <w:lang w:eastAsia="hr-HR"/>
        </w:rPr>
        <w:t>su</w:t>
      </w:r>
      <w:r w:rsidRPr="00A86179">
        <w:rPr>
          <w:rFonts w:ascii="Times New Roman" w:hAnsi="Times New Roman"/>
          <w:i/>
          <w:lang w:eastAsia="hr-HR"/>
        </w:rPr>
        <w:t xml:space="preserve"> usmjeren</w:t>
      </w:r>
      <w:r w:rsidR="00C24C21" w:rsidRPr="00A86179">
        <w:rPr>
          <w:rFonts w:ascii="Times New Roman" w:hAnsi="Times New Roman"/>
          <w:i/>
          <w:lang w:eastAsia="hr-HR"/>
        </w:rPr>
        <w:t>i prema</w:t>
      </w:r>
      <w:r w:rsidRPr="00A86179">
        <w:rPr>
          <w:rFonts w:ascii="Times New Roman" w:hAnsi="Times New Roman"/>
          <w:i/>
          <w:lang w:eastAsia="hr-HR"/>
        </w:rPr>
        <w:t xml:space="preserve"> stalnom nadzoru urednosti provedbe ugovora o koncesijama,  te se </w:t>
      </w:r>
      <w:r w:rsidR="00873AB6" w:rsidRPr="00A86179">
        <w:rPr>
          <w:rFonts w:ascii="Times New Roman" w:hAnsi="Times New Roman"/>
          <w:i/>
          <w:lang w:eastAsia="hr-HR"/>
        </w:rPr>
        <w:t xml:space="preserve">u </w:t>
      </w:r>
      <w:r w:rsidR="00C24C21" w:rsidRPr="00A86179">
        <w:rPr>
          <w:rFonts w:ascii="Times New Roman" w:hAnsi="Times New Roman"/>
          <w:i/>
          <w:lang w:eastAsia="hr-HR"/>
        </w:rPr>
        <w:t xml:space="preserve">okviru istih </w:t>
      </w:r>
      <w:r w:rsidRPr="00A86179">
        <w:rPr>
          <w:rFonts w:ascii="Times New Roman" w:hAnsi="Times New Roman"/>
          <w:i/>
          <w:lang w:eastAsia="hr-HR"/>
        </w:rPr>
        <w:t>oslanjalo na nekoliko važnih aktivnosti, a posebice:</w:t>
      </w:r>
    </w:p>
    <w:p w14:paraId="7D330475" w14:textId="77777777" w:rsidR="00911414" w:rsidRPr="00A86179" w:rsidRDefault="00911414" w:rsidP="009400F7">
      <w:pPr>
        <w:spacing w:after="0" w:line="240" w:lineRule="auto"/>
        <w:jc w:val="both"/>
        <w:rPr>
          <w:rFonts w:ascii="Times New Roman" w:hAnsi="Times New Roman"/>
          <w:i/>
          <w:lang w:eastAsia="hr-HR"/>
        </w:rPr>
      </w:pPr>
    </w:p>
    <w:p w14:paraId="7D330476" w14:textId="77777777" w:rsidR="00911414" w:rsidRPr="00A86179" w:rsidRDefault="00482002" w:rsidP="00903281">
      <w:pPr>
        <w:spacing w:after="0" w:line="240" w:lineRule="auto"/>
        <w:ind w:left="1440" w:hanging="720"/>
        <w:jc w:val="both"/>
        <w:rPr>
          <w:rFonts w:ascii="Times New Roman" w:hAnsi="Times New Roman"/>
          <w:i/>
          <w:lang w:eastAsia="hr-HR"/>
        </w:rPr>
      </w:pPr>
      <w:r>
        <w:rPr>
          <w:rFonts w:ascii="Times New Roman" w:hAnsi="Times New Roman"/>
          <w:i/>
          <w:lang w:eastAsia="hr-HR"/>
        </w:rPr>
        <w:t>-</w:t>
      </w:r>
      <w:r>
        <w:rPr>
          <w:rFonts w:ascii="Times New Roman" w:hAnsi="Times New Roman"/>
          <w:i/>
          <w:lang w:eastAsia="hr-HR"/>
        </w:rPr>
        <w:tab/>
      </w:r>
      <w:r w:rsidR="00C24C21" w:rsidRPr="00A86179">
        <w:rPr>
          <w:rFonts w:ascii="Times New Roman" w:hAnsi="Times New Roman"/>
          <w:i/>
          <w:lang w:eastAsia="hr-HR"/>
        </w:rPr>
        <w:t>k</w:t>
      </w:r>
      <w:r w:rsidR="00911414" w:rsidRPr="00A86179">
        <w:rPr>
          <w:rFonts w:ascii="Times New Roman" w:hAnsi="Times New Roman"/>
          <w:i/>
          <w:lang w:eastAsia="hr-HR"/>
        </w:rPr>
        <w:t xml:space="preserve">ontinuirano praćenje rada koncesionara, uz redovite aktivnosti i mjere slanja obavijesti davateljima koncesija o svim dužnicima iz njihovih nadležnost,  </w:t>
      </w:r>
    </w:p>
    <w:p w14:paraId="7D330477" w14:textId="77777777" w:rsidR="00911414" w:rsidRPr="00A86179" w:rsidRDefault="00911414" w:rsidP="00903281">
      <w:pPr>
        <w:spacing w:after="0" w:line="240" w:lineRule="auto"/>
        <w:ind w:left="1440" w:hanging="720"/>
        <w:jc w:val="both"/>
        <w:rPr>
          <w:rFonts w:ascii="Times New Roman" w:hAnsi="Times New Roman"/>
          <w:i/>
          <w:lang w:eastAsia="hr-HR"/>
        </w:rPr>
      </w:pPr>
      <w:r w:rsidRPr="00A86179">
        <w:rPr>
          <w:rFonts w:ascii="Times New Roman" w:hAnsi="Times New Roman"/>
          <w:i/>
          <w:lang w:eastAsia="hr-HR"/>
        </w:rPr>
        <w:t>-</w:t>
      </w:r>
      <w:r w:rsidRPr="00A86179">
        <w:rPr>
          <w:rFonts w:ascii="Times New Roman" w:hAnsi="Times New Roman"/>
          <w:i/>
          <w:lang w:eastAsia="hr-HR"/>
        </w:rPr>
        <w:tab/>
      </w:r>
      <w:r w:rsidR="00C24C21" w:rsidRPr="00A86179">
        <w:rPr>
          <w:rFonts w:ascii="Times New Roman" w:hAnsi="Times New Roman"/>
          <w:i/>
          <w:lang w:eastAsia="hr-HR"/>
        </w:rPr>
        <w:t>u</w:t>
      </w:r>
      <w:r w:rsidRPr="00A86179">
        <w:rPr>
          <w:rFonts w:ascii="Times New Roman" w:hAnsi="Times New Roman"/>
          <w:i/>
          <w:lang w:eastAsia="hr-HR"/>
        </w:rPr>
        <w:t>napređenje sustava Registra koncesija kroz aktivno sudjelovanje davatelja koncesija na unosu podataka u bazu Registra koncesija,</w:t>
      </w:r>
    </w:p>
    <w:p w14:paraId="7D330478" w14:textId="77777777" w:rsidR="00911414" w:rsidRPr="00A86179" w:rsidRDefault="00911414" w:rsidP="00903281">
      <w:pPr>
        <w:spacing w:after="0" w:line="240" w:lineRule="auto"/>
        <w:ind w:left="1440" w:hanging="720"/>
        <w:jc w:val="both"/>
        <w:rPr>
          <w:rFonts w:ascii="Times New Roman" w:hAnsi="Times New Roman"/>
          <w:i/>
          <w:lang w:eastAsia="hr-HR"/>
        </w:rPr>
      </w:pPr>
      <w:r w:rsidRPr="00A86179">
        <w:rPr>
          <w:rFonts w:ascii="Times New Roman" w:hAnsi="Times New Roman"/>
          <w:i/>
          <w:lang w:eastAsia="hr-HR"/>
        </w:rPr>
        <w:t xml:space="preserve">- </w:t>
      </w:r>
      <w:r w:rsidRPr="00A86179">
        <w:rPr>
          <w:rFonts w:ascii="Times New Roman" w:hAnsi="Times New Roman"/>
          <w:i/>
          <w:lang w:eastAsia="hr-HR"/>
        </w:rPr>
        <w:tab/>
      </w:r>
      <w:r w:rsidR="00C24C21" w:rsidRPr="00A86179">
        <w:rPr>
          <w:rFonts w:ascii="Times New Roman" w:hAnsi="Times New Roman"/>
          <w:i/>
          <w:lang w:eastAsia="hr-HR"/>
        </w:rPr>
        <w:t xml:space="preserve">provedbi mjera i aktivnosti </w:t>
      </w:r>
      <w:r w:rsidRPr="00A86179">
        <w:rPr>
          <w:rFonts w:ascii="Times New Roman" w:hAnsi="Times New Roman"/>
          <w:i/>
          <w:lang w:eastAsia="hr-HR"/>
        </w:rPr>
        <w:t>usmjeren</w:t>
      </w:r>
      <w:r w:rsidR="00800404" w:rsidRPr="00A86179">
        <w:rPr>
          <w:rFonts w:ascii="Times New Roman" w:hAnsi="Times New Roman"/>
          <w:i/>
          <w:lang w:eastAsia="hr-HR"/>
        </w:rPr>
        <w:t>i</w:t>
      </w:r>
      <w:r w:rsidR="00C24C21" w:rsidRPr="00A86179">
        <w:rPr>
          <w:rFonts w:ascii="Times New Roman" w:hAnsi="Times New Roman"/>
          <w:i/>
          <w:lang w:eastAsia="hr-HR"/>
        </w:rPr>
        <w:t>h</w:t>
      </w:r>
      <w:r w:rsidRPr="00A86179">
        <w:rPr>
          <w:rFonts w:ascii="Times New Roman" w:hAnsi="Times New Roman"/>
          <w:i/>
          <w:lang w:eastAsia="hr-HR"/>
        </w:rPr>
        <w:t xml:space="preserve"> jačanju okvira dodjele koncesija, postupaka davanja koncesija i određenja prikladnih modela u okviru posebnih/sektorskih zakona po poje</w:t>
      </w:r>
      <w:r w:rsidR="00873AB6" w:rsidRPr="00A86179">
        <w:rPr>
          <w:rFonts w:ascii="Times New Roman" w:hAnsi="Times New Roman"/>
          <w:i/>
          <w:lang w:eastAsia="hr-HR"/>
        </w:rPr>
        <w:t>dinačnim prijedlozima odluka.</w:t>
      </w:r>
    </w:p>
    <w:p w14:paraId="7D330479" w14:textId="77777777" w:rsidR="00911414" w:rsidRPr="00A86179" w:rsidRDefault="00911414" w:rsidP="00500377">
      <w:pPr>
        <w:spacing w:after="0" w:line="240" w:lineRule="auto"/>
        <w:ind w:left="1440" w:hanging="720"/>
        <w:jc w:val="both"/>
        <w:rPr>
          <w:rFonts w:ascii="Times New Roman" w:hAnsi="Times New Roman"/>
          <w:i/>
          <w:lang w:eastAsia="hr-HR"/>
        </w:rPr>
      </w:pPr>
    </w:p>
    <w:p w14:paraId="7D33047A" w14:textId="77777777" w:rsidR="00911414" w:rsidRPr="00A86179" w:rsidRDefault="00911414" w:rsidP="009400F7">
      <w:pPr>
        <w:spacing w:after="0" w:line="240" w:lineRule="auto"/>
        <w:jc w:val="both"/>
        <w:rPr>
          <w:rFonts w:ascii="Times New Roman" w:hAnsi="Times New Roman"/>
          <w:i/>
          <w:lang w:eastAsia="hr-HR"/>
        </w:rPr>
      </w:pPr>
      <w:r w:rsidRPr="00A86179">
        <w:rPr>
          <w:rFonts w:ascii="Times New Roman" w:hAnsi="Times New Roman"/>
          <w:i/>
          <w:lang w:eastAsia="hr-HR"/>
        </w:rPr>
        <w:t>U okviru politike koncesija, naplata koncesija za koju pojedinačno odgovara svaki davatelj koncesija sukladno odredbama zakona o koncesijama, ali i sektorskih zakona koji uređuju pitanja pojedine vrste koncesija veliki napori uloženi su u povećanje naplate prihoda od koncesija. Pojačana aktivnost u smislu urednog plaćanja obveza koncesionara i smanjenje po</w:t>
      </w:r>
      <w:r w:rsidRPr="00A86179">
        <w:rPr>
          <w:rFonts w:ascii="Times New Roman" w:hAnsi="Times New Roman"/>
          <w:i/>
          <w:lang w:eastAsia="hr-HR"/>
        </w:rPr>
        <w:lastRenderedPageBreak/>
        <w:t>javnosti nepoštivanja ugovora o koncesijama, te samog izbjegavanja plaćanja obveza  koncesionara jedna je od mjera koja se provodi kontinuirano, a za koju postoji dosta prostora za još učinkovitije postupanje što prven</w:t>
      </w:r>
      <w:r w:rsidR="002E5735" w:rsidRPr="00A86179">
        <w:rPr>
          <w:rFonts w:ascii="Times New Roman" w:hAnsi="Times New Roman"/>
          <w:i/>
          <w:lang w:eastAsia="hr-HR"/>
        </w:rPr>
        <w:t>stveno ovisi o samim davateljima koncesija</w:t>
      </w:r>
      <w:r w:rsidRPr="00A86179">
        <w:rPr>
          <w:rFonts w:ascii="Times New Roman" w:hAnsi="Times New Roman"/>
          <w:i/>
          <w:lang w:eastAsia="hr-HR"/>
        </w:rPr>
        <w:t xml:space="preserve">. Ministarstvo financija svojim mjerama i promjenama ustroja koji se odnosi na nadzor koncesija, dodatno ojačava ovaj segment u kojem se moraju uložiti dodatni napori svakog davatelja koncesija. </w:t>
      </w:r>
    </w:p>
    <w:p w14:paraId="7D33047B" w14:textId="77777777" w:rsidR="00911414" w:rsidRPr="00A86179" w:rsidRDefault="00911414" w:rsidP="009400F7">
      <w:pPr>
        <w:spacing w:after="0" w:line="240" w:lineRule="auto"/>
        <w:jc w:val="both"/>
        <w:rPr>
          <w:rFonts w:ascii="Times New Roman" w:hAnsi="Times New Roman"/>
          <w:i/>
          <w:iCs/>
        </w:rPr>
      </w:pPr>
    </w:p>
    <w:p w14:paraId="7D33047C" w14:textId="77777777" w:rsidR="00911414" w:rsidRPr="00A86179" w:rsidRDefault="00911414" w:rsidP="009400F7">
      <w:pPr>
        <w:spacing w:after="0" w:line="240" w:lineRule="auto"/>
        <w:jc w:val="both"/>
        <w:rPr>
          <w:rFonts w:ascii="Times New Roman" w:hAnsi="Times New Roman"/>
          <w:b/>
          <w:i/>
          <w:iCs/>
        </w:rPr>
      </w:pPr>
      <w:r w:rsidRPr="00A86179">
        <w:rPr>
          <w:rFonts w:ascii="Times New Roman" w:eastAsia="MS Mincho" w:hAnsi="Times New Roman"/>
          <w:b/>
          <w:i/>
          <w:lang w:eastAsia="ja-JP"/>
        </w:rPr>
        <w:t xml:space="preserve">Ministarstvo financija kao središnje tijelo državne uprave zaduženo za provedbu politike koncesija, ovim Izvješćem daje jasan pregled svih elemenata sustava koncesija u Republici Hrvatskoj, te u okviru istoga uz predmetne analize predlaže i određene mjere koje će utjecati na poboljšanje i jačanje sustava nadzora kako od strane Ministarstva financija, tako i od samih davatelja koncesija čija nadležnost nad koncesionarima treba biti veća i učinkovitija. </w:t>
      </w:r>
      <w:r w:rsidR="00B26201" w:rsidRPr="00A86179">
        <w:rPr>
          <w:rFonts w:ascii="Times New Roman" w:eastAsia="MS Mincho" w:hAnsi="Times New Roman"/>
          <w:b/>
          <w:i/>
          <w:lang w:eastAsia="ja-JP"/>
        </w:rPr>
        <w:t>Kako bi se postojeći sustav dodatno unaprijedio i poboljšao, usvajanjem Zaključka Vlade RH prihvaća se ovo Izvješće.</w:t>
      </w:r>
    </w:p>
    <w:p w14:paraId="7D33047D" w14:textId="77777777" w:rsidR="00911414" w:rsidRPr="00A86179" w:rsidRDefault="00911414" w:rsidP="009400F7">
      <w:pPr>
        <w:spacing w:after="0" w:line="240" w:lineRule="auto"/>
        <w:jc w:val="both"/>
        <w:rPr>
          <w:rFonts w:ascii="Times New Roman" w:hAnsi="Times New Roman"/>
          <w:i/>
          <w:iCs/>
        </w:rPr>
      </w:pPr>
    </w:p>
    <w:p w14:paraId="7D33047E" w14:textId="77777777" w:rsidR="00911414" w:rsidRPr="003D082A" w:rsidRDefault="00911414" w:rsidP="00FC658F">
      <w:pPr>
        <w:pStyle w:val="Heading1"/>
        <w:numPr>
          <w:ilvl w:val="0"/>
          <w:numId w:val="7"/>
        </w:numPr>
        <w:ind w:hanging="502"/>
        <w:rPr>
          <w:rStyle w:val="SubtleReference"/>
          <w:rFonts w:ascii="Times New Roman" w:hAnsi="Times New Roman" w:cs="Times New Roman"/>
          <w:color w:val="auto"/>
          <w:sz w:val="24"/>
          <w:szCs w:val="24"/>
        </w:rPr>
      </w:pPr>
      <w:bookmarkStart w:id="1" w:name="_Toc526419489"/>
      <w:r w:rsidRPr="003D082A">
        <w:rPr>
          <w:rStyle w:val="SubtleReference"/>
          <w:rFonts w:ascii="Times New Roman" w:hAnsi="Times New Roman" w:cs="Times New Roman"/>
          <w:color w:val="auto"/>
          <w:sz w:val="24"/>
          <w:szCs w:val="24"/>
        </w:rPr>
        <w:t>SUSTAV KONCESIJA U REPUBLICI HRVATSKOJ</w:t>
      </w:r>
      <w:bookmarkEnd w:id="1"/>
      <w:r w:rsidRPr="003D082A">
        <w:rPr>
          <w:rStyle w:val="SubtleReference"/>
          <w:rFonts w:ascii="Times New Roman" w:hAnsi="Times New Roman" w:cs="Times New Roman"/>
          <w:color w:val="auto"/>
          <w:sz w:val="24"/>
          <w:szCs w:val="24"/>
        </w:rPr>
        <w:t xml:space="preserve"> </w:t>
      </w:r>
    </w:p>
    <w:p w14:paraId="7D33047F" w14:textId="77777777" w:rsidR="009658ED" w:rsidRPr="003D082A" w:rsidRDefault="009658ED" w:rsidP="009658ED">
      <w:pPr>
        <w:pStyle w:val="ListParagraph"/>
        <w:spacing w:after="0" w:line="240" w:lineRule="auto"/>
        <w:ind w:left="0"/>
        <w:jc w:val="both"/>
        <w:rPr>
          <w:rFonts w:ascii="Times New Roman" w:hAnsi="Times New Roman"/>
          <w:b/>
          <w:bCs/>
          <w:lang w:eastAsia="hr-HR"/>
        </w:rPr>
      </w:pPr>
    </w:p>
    <w:p w14:paraId="7D330480" w14:textId="77777777" w:rsidR="009658ED" w:rsidRPr="003D082A" w:rsidRDefault="009658ED" w:rsidP="009658ED">
      <w:pPr>
        <w:pStyle w:val="ListParagraph"/>
        <w:spacing w:after="0" w:line="240" w:lineRule="auto"/>
        <w:ind w:left="0"/>
        <w:jc w:val="both"/>
        <w:rPr>
          <w:rFonts w:ascii="Times New Roman" w:hAnsi="Times New Roman"/>
          <w:b/>
          <w:bCs/>
          <w:lang w:eastAsia="hr-HR"/>
        </w:rPr>
      </w:pPr>
      <w:r w:rsidRPr="003D082A">
        <w:rPr>
          <w:rFonts w:ascii="Times New Roman" w:hAnsi="Times New Roman"/>
          <w:b/>
          <w:bCs/>
          <w:lang w:eastAsia="hr-HR"/>
        </w:rPr>
        <w:t>Uvod</w:t>
      </w:r>
    </w:p>
    <w:p w14:paraId="7D330481" w14:textId="77777777" w:rsidR="00800404" w:rsidRPr="003D082A" w:rsidRDefault="00800404" w:rsidP="00800404">
      <w:pPr>
        <w:pStyle w:val="ListParagraph"/>
        <w:spacing w:after="0" w:line="240" w:lineRule="auto"/>
        <w:ind w:hanging="720"/>
        <w:jc w:val="both"/>
        <w:rPr>
          <w:rFonts w:ascii="Times New Roman" w:hAnsi="Times New Roman"/>
          <w:lang w:eastAsia="hr-HR"/>
        </w:rPr>
      </w:pPr>
    </w:p>
    <w:p w14:paraId="7D330482" w14:textId="77777777" w:rsidR="00301844" w:rsidRPr="003D082A" w:rsidRDefault="00301844" w:rsidP="00301844">
      <w:pPr>
        <w:spacing w:line="240" w:lineRule="auto"/>
        <w:jc w:val="both"/>
        <w:rPr>
          <w:rFonts w:ascii="Times New Roman" w:hAnsi="Times New Roman"/>
          <w:lang w:eastAsia="hr-HR"/>
        </w:rPr>
      </w:pPr>
      <w:r w:rsidRPr="003D082A">
        <w:rPr>
          <w:rFonts w:ascii="Times New Roman" w:hAnsi="Times New Roman"/>
          <w:lang w:eastAsia="hr-HR"/>
        </w:rPr>
        <w:t xml:space="preserve">Sustav koncesija u Republici Hrvatskoj je složen i isprepleten zakonskim i podzakonskim aktima koji su usklađeni s krovnim Zakonom o koncesijama, </w:t>
      </w:r>
      <w:r w:rsidR="00764ED4" w:rsidRPr="003D082A">
        <w:rPr>
          <w:rFonts w:ascii="Times New Roman" w:hAnsi="Times New Roman"/>
          <w:lang w:eastAsia="hr-HR"/>
        </w:rPr>
        <w:t xml:space="preserve">s izuzetkom </w:t>
      </w:r>
      <w:r w:rsidRPr="003D082A">
        <w:rPr>
          <w:rFonts w:ascii="Times New Roman" w:hAnsi="Times New Roman"/>
          <w:lang w:eastAsia="hr-HR"/>
        </w:rPr>
        <w:t>Zakon</w:t>
      </w:r>
      <w:r w:rsidR="00764ED4" w:rsidRPr="003D082A">
        <w:rPr>
          <w:rFonts w:ascii="Times New Roman" w:hAnsi="Times New Roman"/>
          <w:lang w:eastAsia="hr-HR"/>
        </w:rPr>
        <w:t>a</w:t>
      </w:r>
      <w:r w:rsidRPr="003D082A">
        <w:rPr>
          <w:rFonts w:ascii="Times New Roman" w:hAnsi="Times New Roman"/>
          <w:lang w:eastAsia="hr-HR"/>
        </w:rPr>
        <w:t xml:space="preserve"> o pomorskom dobru i morskim lukama, koji </w:t>
      </w:r>
      <w:r w:rsidR="00764ED4" w:rsidRPr="003D082A">
        <w:rPr>
          <w:rFonts w:ascii="Times New Roman" w:hAnsi="Times New Roman"/>
          <w:lang w:eastAsia="hr-HR"/>
        </w:rPr>
        <w:t>nije usklađen s krovnim zakonom o koncesijama</w:t>
      </w:r>
      <w:r w:rsidRPr="003D082A">
        <w:rPr>
          <w:rFonts w:ascii="Times New Roman" w:hAnsi="Times New Roman"/>
          <w:lang w:eastAsia="hr-HR"/>
        </w:rPr>
        <w:t>.</w:t>
      </w:r>
    </w:p>
    <w:p w14:paraId="7D330483" w14:textId="77777777" w:rsidR="00301844" w:rsidRPr="003D082A" w:rsidRDefault="00301844" w:rsidP="009658ED">
      <w:pPr>
        <w:spacing w:line="240" w:lineRule="auto"/>
        <w:jc w:val="both"/>
        <w:rPr>
          <w:rFonts w:ascii="Times New Roman" w:hAnsi="Times New Roman"/>
        </w:rPr>
      </w:pPr>
      <w:r w:rsidRPr="003D082A">
        <w:rPr>
          <w:rFonts w:ascii="Times New Roman" w:hAnsi="Times New Roman"/>
        </w:rPr>
        <w:t>Zakonski okvir predstavlja temelj i osnovni preduvjet provedbi mjera za koje je odgovorno Ministarstvo financija</w:t>
      </w:r>
      <w:r w:rsidR="00A86179" w:rsidRPr="003D082A">
        <w:rPr>
          <w:rFonts w:ascii="Times New Roman" w:hAnsi="Times New Roman"/>
        </w:rPr>
        <w:t>, a</w:t>
      </w:r>
      <w:r w:rsidR="00764ED4" w:rsidRPr="003D082A">
        <w:rPr>
          <w:rFonts w:ascii="Times New Roman" w:hAnsi="Times New Roman"/>
        </w:rPr>
        <w:t xml:space="preserve"> uređeno je Zakonom o koncesijama koji je usmjeren ostvarivanju</w:t>
      </w:r>
      <w:r w:rsidRPr="003D082A">
        <w:rPr>
          <w:rFonts w:ascii="Times New Roman" w:hAnsi="Times New Roman"/>
        </w:rPr>
        <w:t xml:space="preserve"> pozitivn</w:t>
      </w:r>
      <w:r w:rsidR="00764ED4" w:rsidRPr="003D082A">
        <w:rPr>
          <w:rFonts w:ascii="Times New Roman" w:hAnsi="Times New Roman"/>
        </w:rPr>
        <w:t>ih</w:t>
      </w:r>
      <w:r w:rsidRPr="003D082A">
        <w:rPr>
          <w:rFonts w:ascii="Times New Roman" w:hAnsi="Times New Roman"/>
        </w:rPr>
        <w:t xml:space="preserve"> učin</w:t>
      </w:r>
      <w:r w:rsidR="00764ED4" w:rsidRPr="003D082A">
        <w:rPr>
          <w:rFonts w:ascii="Times New Roman" w:hAnsi="Times New Roman"/>
        </w:rPr>
        <w:t>a</w:t>
      </w:r>
      <w:r w:rsidRPr="003D082A">
        <w:rPr>
          <w:rFonts w:ascii="Times New Roman" w:hAnsi="Times New Roman"/>
        </w:rPr>
        <w:t>k</w:t>
      </w:r>
      <w:r w:rsidR="00764ED4" w:rsidRPr="003D082A">
        <w:rPr>
          <w:rFonts w:ascii="Times New Roman" w:hAnsi="Times New Roman"/>
        </w:rPr>
        <w:t>a</w:t>
      </w:r>
      <w:r w:rsidRPr="003D082A">
        <w:rPr>
          <w:rFonts w:ascii="Times New Roman" w:hAnsi="Times New Roman"/>
        </w:rPr>
        <w:t xml:space="preserve"> i prilagodb</w:t>
      </w:r>
      <w:r w:rsidR="00764ED4" w:rsidRPr="003D082A">
        <w:rPr>
          <w:rFonts w:ascii="Times New Roman" w:hAnsi="Times New Roman"/>
        </w:rPr>
        <w:t>e</w:t>
      </w:r>
      <w:r w:rsidRPr="003D082A">
        <w:rPr>
          <w:rFonts w:ascii="Times New Roman" w:hAnsi="Times New Roman"/>
        </w:rPr>
        <w:t xml:space="preserve"> sustav</w:t>
      </w:r>
      <w:r w:rsidR="00764ED4" w:rsidRPr="003D082A">
        <w:rPr>
          <w:rFonts w:ascii="Times New Roman" w:hAnsi="Times New Roman"/>
        </w:rPr>
        <w:t>a</w:t>
      </w:r>
      <w:r w:rsidRPr="003D082A">
        <w:rPr>
          <w:rFonts w:ascii="Times New Roman" w:hAnsi="Times New Roman"/>
        </w:rPr>
        <w:t xml:space="preserve"> koncesija s međunarodnom praksom, pravnom stečevinom EU, </w:t>
      </w:r>
      <w:r w:rsidR="00764ED4" w:rsidRPr="003D082A">
        <w:rPr>
          <w:rFonts w:ascii="Times New Roman" w:hAnsi="Times New Roman"/>
        </w:rPr>
        <w:t>provedbi složen</w:t>
      </w:r>
      <w:r w:rsidR="00307002" w:rsidRPr="003D082A">
        <w:rPr>
          <w:rFonts w:ascii="Times New Roman" w:hAnsi="Times New Roman"/>
        </w:rPr>
        <w:t>i</w:t>
      </w:r>
      <w:r w:rsidR="00764ED4" w:rsidRPr="003D082A">
        <w:rPr>
          <w:rFonts w:ascii="Times New Roman" w:hAnsi="Times New Roman"/>
        </w:rPr>
        <w:t>jih koncesijskih ugovora uz istovremeno stvaranje uvjeta za učinkovitu provedbu politike koncesije u različitim područjima</w:t>
      </w:r>
      <w:r w:rsidRPr="003D082A">
        <w:rPr>
          <w:rFonts w:ascii="Times New Roman" w:hAnsi="Times New Roman"/>
        </w:rPr>
        <w:t>.</w:t>
      </w:r>
    </w:p>
    <w:p w14:paraId="7D330484" w14:textId="77777777" w:rsidR="00301844" w:rsidRPr="003D082A" w:rsidRDefault="00301844" w:rsidP="00301844">
      <w:pPr>
        <w:spacing w:line="240" w:lineRule="auto"/>
        <w:jc w:val="both"/>
        <w:rPr>
          <w:rFonts w:ascii="Times New Roman" w:hAnsi="Times New Roman"/>
        </w:rPr>
      </w:pPr>
      <w:r w:rsidRPr="003D082A">
        <w:rPr>
          <w:rFonts w:ascii="Times New Roman" w:hAnsi="Times New Roman"/>
        </w:rPr>
        <w:t>Zakonom o koncesijama jasno je postavljena uloga Ministarstva financija koje provodi politiku koncesija, što, u smislu Zakona, predstavlja sve mjere i aktivnosti usmjerene uspostavi i održanju učinkovitog sustava davanja koncesija, a osobito nadzor nad provedbom ugovora o koncesijama, vođenje Registra koncesija, praćenj</w:t>
      </w:r>
      <w:r w:rsidR="00764ED4" w:rsidRPr="003D082A">
        <w:rPr>
          <w:rFonts w:ascii="Times New Roman" w:hAnsi="Times New Roman"/>
        </w:rPr>
        <w:t>a</w:t>
      </w:r>
      <w:r w:rsidRPr="003D082A">
        <w:rPr>
          <w:rFonts w:ascii="Times New Roman" w:hAnsi="Times New Roman"/>
        </w:rPr>
        <w:t xml:space="preserve"> provedbe ugovora o koncesijama s obilježjima javno-privatnog partnerstva, edukaciju te praćenje međunarodne prakse iz područja koncesija.</w:t>
      </w:r>
      <w:r w:rsidR="00764ED4" w:rsidRPr="003D082A">
        <w:rPr>
          <w:rFonts w:ascii="Times New Roman" w:hAnsi="Times New Roman"/>
        </w:rPr>
        <w:t xml:space="preserve"> Navedene mjere imaju za cilj stvoriti preduvjete učinkovitom davanju koncesija kojem prethodi i angažman davatelja koji mora prepoznati šanse i privatne inicijative što je karakteristično za velike i složenije koncesijske projekte. Isto je od iznimne važnosti i u narednom razdoblju potrebno je u što većoj mjeri provoditi aktivnosti kako bi se ostvarili ovi preduvjeti. </w:t>
      </w:r>
    </w:p>
    <w:p w14:paraId="7D330485" w14:textId="77777777" w:rsidR="009658ED" w:rsidRPr="003D082A" w:rsidRDefault="00A86179" w:rsidP="00FC658F">
      <w:pPr>
        <w:pStyle w:val="ListParagraph"/>
        <w:numPr>
          <w:ilvl w:val="1"/>
          <w:numId w:val="4"/>
        </w:numPr>
        <w:spacing w:after="0" w:line="240" w:lineRule="auto"/>
        <w:jc w:val="both"/>
        <w:rPr>
          <w:rFonts w:ascii="Times New Roman" w:hAnsi="Times New Roman"/>
          <w:b/>
          <w:bCs/>
        </w:rPr>
      </w:pPr>
      <w:r w:rsidRPr="003D082A">
        <w:rPr>
          <w:rFonts w:ascii="Times New Roman" w:hAnsi="Times New Roman"/>
          <w:b/>
          <w:bCs/>
        </w:rPr>
        <w:t>Z</w:t>
      </w:r>
      <w:r w:rsidR="009658ED" w:rsidRPr="003D082A">
        <w:rPr>
          <w:rFonts w:ascii="Times New Roman" w:hAnsi="Times New Roman"/>
          <w:b/>
          <w:bCs/>
        </w:rPr>
        <w:t>akon o koncesijama</w:t>
      </w:r>
    </w:p>
    <w:p w14:paraId="7D330486" w14:textId="77777777" w:rsidR="009658ED" w:rsidRPr="003D082A" w:rsidRDefault="009658ED" w:rsidP="009658ED">
      <w:pPr>
        <w:spacing w:after="0" w:line="240" w:lineRule="auto"/>
        <w:jc w:val="both"/>
        <w:rPr>
          <w:rFonts w:ascii="Times New Roman" w:hAnsi="Times New Roman"/>
          <w:bCs/>
        </w:rPr>
      </w:pPr>
    </w:p>
    <w:p w14:paraId="7D330487" w14:textId="77777777" w:rsidR="009658ED" w:rsidRPr="003D082A" w:rsidRDefault="009658ED" w:rsidP="009658ED">
      <w:pPr>
        <w:spacing w:line="240" w:lineRule="auto"/>
        <w:jc w:val="both"/>
        <w:rPr>
          <w:rFonts w:ascii="Times New Roman" w:hAnsi="Times New Roman"/>
          <w:bCs/>
        </w:rPr>
      </w:pPr>
      <w:r w:rsidRPr="003D082A">
        <w:rPr>
          <w:rFonts w:ascii="Times New Roman" w:hAnsi="Times New Roman"/>
          <w:bCs/>
        </w:rPr>
        <w:t>U Republici Hrvatskoj je u srpnju 2017. godine stupio na snagu novi Zakon o koncesijama, prilagođen Direktivi 2014/23/EU Europskog parlamenta i Vijeća od 26. veljače 2014. godine o dodjeli ugovora o koncesiji (SL L 94, 28. 3. 2014.) (u daljnjem tekstu: Direktiva). Direktiva po prvi puta u Europskoj uniji na potpun način uređuje sva ključna pitanja o koncesijama, a što je do sada bilo uređeno unutar direktiva o javnoj nabavi. Navedena Direktiva je jedna od tri direktive iz paketa direktiva o javnoj nabavi koje su stupile na snagu 17. travnja 2014. godine, čime su države članice Europske unije stekle obvezu implementirati ih u svoja nacionalna zakonodavstva u roku od dvije godine, dakle do 18. travnja 2016. godine.</w:t>
      </w:r>
    </w:p>
    <w:p w14:paraId="7D330488" w14:textId="77777777" w:rsidR="009658ED" w:rsidRPr="003D082A" w:rsidRDefault="009658ED" w:rsidP="009658ED">
      <w:pPr>
        <w:spacing w:line="240" w:lineRule="auto"/>
        <w:jc w:val="both"/>
        <w:rPr>
          <w:rFonts w:ascii="Times New Roman" w:hAnsi="Times New Roman"/>
          <w:bCs/>
        </w:rPr>
      </w:pPr>
      <w:r w:rsidRPr="003D082A">
        <w:rPr>
          <w:rFonts w:ascii="Times New Roman" w:hAnsi="Times New Roman"/>
          <w:bCs/>
        </w:rPr>
        <w:lastRenderedPageBreak/>
        <w:t xml:space="preserve">Europska komisija izdvaja ugovore o koncesiji kao važne instrumente u dugoročnom strukturnom razvoju infrastrukture i strateških usluga, doprinoseći napretku tržišnog natjecanja na unutarnjem tržištu, omogućujući korist od stručnog znanja iz privatnog sektora i pomažući postizanje učinkovitosti i ostvarivanja inovacija. </w:t>
      </w:r>
    </w:p>
    <w:p w14:paraId="7D330489" w14:textId="77777777" w:rsidR="009658ED" w:rsidRPr="003D082A" w:rsidRDefault="009658ED" w:rsidP="009658ED">
      <w:pPr>
        <w:spacing w:line="240" w:lineRule="auto"/>
        <w:jc w:val="both"/>
        <w:rPr>
          <w:rFonts w:ascii="Times New Roman" w:hAnsi="Times New Roman"/>
          <w:bCs/>
        </w:rPr>
      </w:pPr>
      <w:r w:rsidRPr="003D082A">
        <w:rPr>
          <w:rFonts w:ascii="Times New Roman" w:hAnsi="Times New Roman"/>
          <w:bCs/>
        </w:rPr>
        <w:t>Direktiva utvrđuje pravila o postupcima davanja koncesije koju provode davatelji koncesija, čija procijenjena vrijednost nije manja od praga navedenog u samoj direktivi. Kada je Direktiva donijeta u travnju 2014. godine vrijednosni prag je određen u iznosu od 5.186.000 eura. S obzirom da se člankom 9. direktive omogućuje revizija praga svake dvije godine, počevši od 30. lipnja 2013.</w:t>
      </w:r>
      <w:r w:rsidR="003D5597" w:rsidRPr="003D082A">
        <w:rPr>
          <w:rFonts w:ascii="Times New Roman" w:hAnsi="Times New Roman"/>
          <w:bCs/>
        </w:rPr>
        <w:t xml:space="preserve"> godine</w:t>
      </w:r>
      <w:r w:rsidRPr="003D082A">
        <w:rPr>
          <w:rFonts w:ascii="Times New Roman" w:hAnsi="Times New Roman"/>
          <w:bCs/>
        </w:rPr>
        <w:t>, pri čemu Europska komisija provjerava odgovara li prag određen u direktivi pragu utvrđenom u Sporazumu Svjetske trgovinske organizacije o javnoj nabavi („GPA”) za koncesije radova. Izračun pragova se vrši na temelju srednje vrijednosti eura tijekom razdoblja od dvije godine, a izmijenjen prag objavljuje se u Službenom listu Europske unije početkom studenoga svake druge godine. Tako je Uredbom Komisije (EU) 2015/2172 оd 24. studenoga 2015.</w:t>
      </w:r>
      <w:r w:rsidR="00B41E67" w:rsidRPr="003D082A">
        <w:rPr>
          <w:rFonts w:ascii="Times New Roman" w:hAnsi="Times New Roman"/>
          <w:bCs/>
        </w:rPr>
        <w:t xml:space="preserve"> godine</w:t>
      </w:r>
      <w:r w:rsidRPr="003D082A">
        <w:rPr>
          <w:rFonts w:ascii="Times New Roman" w:hAnsi="Times New Roman"/>
          <w:bCs/>
        </w:rPr>
        <w:t xml:space="preserve"> o izmjeni Direktive 2014/23/EU Europskog parlamenta i Vijeća u vezi s pragovima primjene za postupke dodjele ugovora (SL L 307, 25.11.2015.) vrijednosti prag izmijenjen i on iznosi 5.225.000 eura, te se primjenjuje od 1. siječnja 2016. godine. Uz tekst Uredbi objavljena je i Komunikacija Komisije u vezi odgovarajuće vrijednosti pragova iz direktiva 2014/23/EU, 2014/24/EU i 2014/25/EU Europskog parlamenta i Vijeća, te izračun europskog praga iznosi 39.842.193 kuna. Sukladno članku 288. stavku 3. Ugovora o Europskoj uniji i Ugovora o funkcioniranju Europske unije predmetna direktiva je obvezujuća, u pogledu rezultata koji je potrebno postići, za svaku državu članicu kojoj je upućena, a odabir oblika i metoda postizanja tog rezultata prepušten je nacionalnim tijelima. Tako je Ministarstvo financija kao javnopravno tijelo nadležno za provođenje politike koncesija bilo nadlež</w:t>
      </w:r>
      <w:r w:rsidR="00235530" w:rsidRPr="003D082A">
        <w:rPr>
          <w:rFonts w:ascii="Times New Roman" w:hAnsi="Times New Roman"/>
          <w:bCs/>
        </w:rPr>
        <w:t>no za implementaciju Direktive.</w:t>
      </w:r>
    </w:p>
    <w:p w14:paraId="7D33048A" w14:textId="77777777" w:rsidR="00D04F02" w:rsidRPr="003D082A" w:rsidRDefault="00D04F02" w:rsidP="00D04F02">
      <w:pPr>
        <w:spacing w:after="0" w:line="240" w:lineRule="auto"/>
        <w:jc w:val="both"/>
        <w:rPr>
          <w:rFonts w:ascii="Times New Roman" w:eastAsia="Times New Roman" w:hAnsi="Times New Roman"/>
          <w:color w:val="000000"/>
        </w:rPr>
      </w:pPr>
      <w:r w:rsidRPr="003D082A">
        <w:rPr>
          <w:rFonts w:ascii="Times New Roman" w:eastAsia="Times New Roman" w:hAnsi="Times New Roman"/>
          <w:color w:val="000000"/>
        </w:rPr>
        <w:t>Zakon koj</w:t>
      </w:r>
      <w:r w:rsidR="00FA1587" w:rsidRPr="003D082A">
        <w:rPr>
          <w:rFonts w:ascii="Times New Roman" w:eastAsia="Times New Roman" w:hAnsi="Times New Roman"/>
          <w:color w:val="000000"/>
        </w:rPr>
        <w:t>im</w:t>
      </w:r>
      <w:r w:rsidRPr="003D082A">
        <w:rPr>
          <w:rFonts w:ascii="Times New Roman" w:eastAsia="Times New Roman" w:hAnsi="Times New Roman"/>
          <w:color w:val="000000"/>
        </w:rPr>
        <w:t xml:space="preserve"> su se transponirale odredbe predmetne Direktive dodatno je ojačalo postojeći okvir, te u tom smislu ovaj zakon ima cilj uspostavljanja još jasnijeg pravnog okvira primjenjivog na dodjelu koncesija, a kojima se osigurava najučinkovitije korištenje javnih sredstava.</w:t>
      </w:r>
    </w:p>
    <w:p w14:paraId="7D33048B" w14:textId="77777777" w:rsidR="00D04F02" w:rsidRPr="003D082A" w:rsidRDefault="00D04F02" w:rsidP="00D04F02">
      <w:pPr>
        <w:spacing w:after="0" w:line="240" w:lineRule="auto"/>
        <w:jc w:val="both"/>
        <w:rPr>
          <w:rFonts w:ascii="Times New Roman" w:eastAsia="Times New Roman" w:hAnsi="Times New Roman"/>
          <w:color w:val="000000"/>
        </w:rPr>
      </w:pPr>
    </w:p>
    <w:p w14:paraId="7D33048C" w14:textId="77777777" w:rsidR="00D04F02" w:rsidRPr="003D082A" w:rsidRDefault="00D04F02" w:rsidP="00D04F02">
      <w:pPr>
        <w:spacing w:after="0" w:line="240" w:lineRule="auto"/>
        <w:jc w:val="both"/>
        <w:rPr>
          <w:rFonts w:ascii="Times New Roman" w:eastAsia="Times New Roman" w:hAnsi="Times New Roman"/>
          <w:color w:val="000000"/>
        </w:rPr>
      </w:pPr>
      <w:r w:rsidRPr="003D082A">
        <w:rPr>
          <w:rFonts w:ascii="Times New Roman" w:eastAsia="Times New Roman" w:hAnsi="Times New Roman"/>
          <w:color w:val="000000"/>
        </w:rPr>
        <w:t>Zakonom je propisana primjena pravila ispod i iznad vrijednosnog praga koje propisuje Direktiva 2014/EU/23 o dodjeli koncesija za koncesije procijenjene vrijednosti jednake ili veće od 5.225.000 eura. Normativno rješenje predviđa različite postupke davanja koncesije za koncesije ispod i iznad vrijednosnog praga koji su sadržani u Glavi III i IV Dijela prvog Zakona, dok su ostale odredbe Zakona primjenjive na sve koncesije neovisno o njihovoj vrijednosti i vrsti.</w:t>
      </w:r>
    </w:p>
    <w:p w14:paraId="7D33048D" w14:textId="77777777" w:rsidR="00D04F02" w:rsidRPr="003D082A" w:rsidRDefault="00D04F02" w:rsidP="00D04F02">
      <w:pPr>
        <w:spacing w:after="0" w:line="240" w:lineRule="auto"/>
        <w:jc w:val="both"/>
        <w:rPr>
          <w:rFonts w:ascii="Times New Roman" w:eastAsia="Times New Roman" w:hAnsi="Times New Roman"/>
          <w:color w:val="000000"/>
        </w:rPr>
      </w:pPr>
    </w:p>
    <w:p w14:paraId="7D33048E" w14:textId="77777777" w:rsidR="00D04F02" w:rsidRPr="003D082A" w:rsidRDefault="00D04F02" w:rsidP="00D04F02">
      <w:pPr>
        <w:spacing w:after="0" w:line="240" w:lineRule="auto"/>
        <w:jc w:val="both"/>
        <w:rPr>
          <w:rFonts w:ascii="Times New Roman" w:eastAsia="Times New Roman" w:hAnsi="Times New Roman"/>
          <w:color w:val="000000"/>
        </w:rPr>
      </w:pPr>
      <w:r w:rsidRPr="003D082A">
        <w:rPr>
          <w:rFonts w:ascii="Times New Roman" w:eastAsia="Times New Roman" w:hAnsi="Times New Roman"/>
          <w:color w:val="000000"/>
        </w:rPr>
        <w:t xml:space="preserve">Zakon obuhvaća uvodni dio, pripremne radnje za davanje koncesija, postupak davanja koncesija za radove i usluge procijenjene vrijednosti manje od vrijednosnog praga i za koncesije za gospodarsko korištenje, postupak davanja koncesija za radove i usluge procijenjene vrijednosti jednake ili veće od vrijednosnog praga, ugovor o koncesiji, prestanak koncesije, politiku koncesija, pravnu zaštita i prekršajne odredbe. </w:t>
      </w:r>
    </w:p>
    <w:p w14:paraId="7D33048F" w14:textId="77777777" w:rsidR="00D04F02" w:rsidRPr="003D082A" w:rsidRDefault="00D04F02" w:rsidP="00D04F02">
      <w:pPr>
        <w:spacing w:after="0" w:line="240" w:lineRule="auto"/>
        <w:jc w:val="both"/>
        <w:rPr>
          <w:rFonts w:ascii="Times New Roman" w:eastAsia="Times New Roman" w:hAnsi="Times New Roman"/>
          <w:color w:val="000000"/>
        </w:rPr>
      </w:pPr>
    </w:p>
    <w:p w14:paraId="7D330490" w14:textId="77777777" w:rsidR="00D04F02" w:rsidRPr="003D082A" w:rsidRDefault="00D04F02" w:rsidP="00D04F02">
      <w:pPr>
        <w:spacing w:after="0" w:line="240" w:lineRule="auto"/>
        <w:jc w:val="both"/>
        <w:rPr>
          <w:rFonts w:ascii="Times New Roman" w:eastAsia="Times New Roman" w:hAnsi="Times New Roman"/>
          <w:color w:val="000000"/>
        </w:rPr>
      </w:pPr>
      <w:r w:rsidRPr="003D082A">
        <w:rPr>
          <w:rFonts w:ascii="Times New Roman" w:eastAsia="Times New Roman" w:hAnsi="Times New Roman"/>
          <w:color w:val="000000"/>
        </w:rPr>
        <w:t xml:space="preserve">Pored spomenutih inicijativa i promjena na razini Europske unije, niz rješenja koja se </w:t>
      </w:r>
      <w:r w:rsidR="00121DDC" w:rsidRPr="003D082A">
        <w:rPr>
          <w:rFonts w:ascii="Times New Roman" w:eastAsia="Times New Roman" w:hAnsi="Times New Roman"/>
          <w:color w:val="000000"/>
        </w:rPr>
        <w:t>uvode</w:t>
      </w:r>
      <w:r w:rsidRPr="003D082A">
        <w:rPr>
          <w:rFonts w:ascii="Times New Roman" w:eastAsia="Times New Roman" w:hAnsi="Times New Roman"/>
          <w:color w:val="000000"/>
        </w:rPr>
        <w:t xml:space="preserve"> </w:t>
      </w:r>
      <w:r w:rsidR="00A86179" w:rsidRPr="003D082A">
        <w:rPr>
          <w:rFonts w:ascii="Times New Roman" w:eastAsia="Times New Roman" w:hAnsi="Times New Roman"/>
          <w:color w:val="000000"/>
        </w:rPr>
        <w:t xml:space="preserve">ovim </w:t>
      </w:r>
      <w:r w:rsidRPr="003D082A">
        <w:rPr>
          <w:rFonts w:ascii="Times New Roman" w:eastAsia="Times New Roman" w:hAnsi="Times New Roman"/>
          <w:color w:val="000000"/>
        </w:rPr>
        <w:t>Zakon</w:t>
      </w:r>
      <w:r w:rsidR="00121DDC" w:rsidRPr="003D082A">
        <w:rPr>
          <w:rFonts w:ascii="Times New Roman" w:eastAsia="Times New Roman" w:hAnsi="Times New Roman"/>
          <w:color w:val="000000"/>
        </w:rPr>
        <w:t xml:space="preserve">om </w:t>
      </w:r>
      <w:r w:rsidRPr="003D082A">
        <w:rPr>
          <w:rFonts w:ascii="Times New Roman" w:eastAsia="Times New Roman" w:hAnsi="Times New Roman"/>
          <w:color w:val="000000"/>
        </w:rPr>
        <w:t xml:space="preserve">o koncesijama za cilj imaju rješavanje nedostataka </w:t>
      </w:r>
      <w:r w:rsidR="00A86179" w:rsidRPr="003D082A">
        <w:rPr>
          <w:rFonts w:ascii="Times New Roman" w:eastAsia="Times New Roman" w:hAnsi="Times New Roman"/>
          <w:color w:val="000000"/>
        </w:rPr>
        <w:t xml:space="preserve">prijašnjih </w:t>
      </w:r>
      <w:r w:rsidRPr="003D082A">
        <w:rPr>
          <w:rFonts w:ascii="Times New Roman" w:eastAsia="Times New Roman" w:hAnsi="Times New Roman"/>
          <w:color w:val="000000"/>
        </w:rPr>
        <w:t>Zakona</w:t>
      </w:r>
      <w:r w:rsidR="00121DDC" w:rsidRPr="003D082A">
        <w:rPr>
          <w:rFonts w:ascii="Times New Roman" w:eastAsia="Times New Roman" w:hAnsi="Times New Roman"/>
          <w:color w:val="000000"/>
        </w:rPr>
        <w:t xml:space="preserve"> </w:t>
      </w:r>
      <w:r w:rsidRPr="003D082A">
        <w:rPr>
          <w:rFonts w:ascii="Times New Roman" w:eastAsia="Times New Roman" w:hAnsi="Times New Roman"/>
          <w:color w:val="000000"/>
        </w:rPr>
        <w:t xml:space="preserve">koje su uočene u redovitoj praksi davatelja koncesija u Republici Hrvatskoj, te se vezuju uz posebnosti hrvatskog sustava koncesija i određenih naslijeđenih modaliteta postupanja koji traže prilagodbu novim zakonskim rješenjima. </w:t>
      </w:r>
    </w:p>
    <w:p w14:paraId="7D330491" w14:textId="77777777" w:rsidR="00D04F02" w:rsidRPr="003D082A" w:rsidRDefault="00D04F02" w:rsidP="00D04F02">
      <w:pPr>
        <w:spacing w:after="0" w:line="240" w:lineRule="auto"/>
        <w:jc w:val="both"/>
        <w:rPr>
          <w:rFonts w:ascii="Times New Roman" w:eastAsia="Times New Roman" w:hAnsi="Times New Roman"/>
          <w:color w:val="000000"/>
        </w:rPr>
      </w:pPr>
    </w:p>
    <w:p w14:paraId="7D330492" w14:textId="77777777" w:rsidR="00A86179" w:rsidRPr="003D082A" w:rsidRDefault="000A21E2" w:rsidP="00D04F0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D</w:t>
      </w:r>
      <w:r w:rsidR="00A86179" w:rsidRPr="003D082A">
        <w:rPr>
          <w:rFonts w:ascii="Times New Roman" w:eastAsia="Times New Roman" w:hAnsi="Times New Roman"/>
          <w:color w:val="000000"/>
        </w:rPr>
        <w:t xml:space="preserve">odatno su uređene obveze davatelja koncesije radi osiguranja kontinuiranog praćenja ispunjavanja ugovora o koncesiji od strane koncesionara, s jasno određenim obvezama davatelja </w:t>
      </w:r>
      <w:r w:rsidR="00A86179" w:rsidRPr="003D082A">
        <w:rPr>
          <w:rFonts w:ascii="Times New Roman" w:eastAsia="Times New Roman" w:hAnsi="Times New Roman"/>
          <w:color w:val="000000"/>
        </w:rPr>
        <w:lastRenderedPageBreak/>
        <w:t xml:space="preserve">koncesije za poduzimanje radnji u slučaju utvrđivanja nepravilnosti, koje nepravilnosti osobito uključuju nepoštivanje obveze plaćanja naknade za koncesiju u iznosu i na način kako je to uređeno ugovorom o koncesiji u skladu s odredbama posebnog zakona. </w:t>
      </w:r>
    </w:p>
    <w:p w14:paraId="7D330493" w14:textId="77777777" w:rsidR="00A86179" w:rsidRPr="003D082A" w:rsidRDefault="00A86179" w:rsidP="00D04F02">
      <w:pPr>
        <w:spacing w:after="0" w:line="240" w:lineRule="auto"/>
        <w:jc w:val="both"/>
        <w:rPr>
          <w:rFonts w:ascii="Times New Roman" w:eastAsia="Times New Roman" w:hAnsi="Times New Roman"/>
          <w:color w:val="000000"/>
        </w:rPr>
      </w:pPr>
    </w:p>
    <w:p w14:paraId="7D330494" w14:textId="77777777" w:rsidR="00D04F02" w:rsidRPr="003D082A" w:rsidRDefault="00D04F02" w:rsidP="00D04F02">
      <w:pPr>
        <w:spacing w:after="0" w:line="240" w:lineRule="auto"/>
        <w:jc w:val="both"/>
        <w:rPr>
          <w:rFonts w:ascii="Times New Roman" w:eastAsia="Times New Roman" w:hAnsi="Times New Roman"/>
          <w:color w:val="000000"/>
        </w:rPr>
      </w:pPr>
      <w:r w:rsidRPr="003D082A">
        <w:rPr>
          <w:rFonts w:ascii="Times New Roman" w:eastAsia="Times New Roman" w:hAnsi="Times New Roman"/>
          <w:color w:val="000000"/>
        </w:rPr>
        <w:t xml:space="preserve">Uzimajući u obzir da naknade za koncesiju u bitnom predstavljaju oblik javnog davanja kao naknade za gospodarsko korištenje općeg ili drugog dobra za koje je zakonom određeno da je dobro od interesa za Republiku Hrvatsku, za pravo obavljanja djelatnosti od državnog interesa te za izgradnju i korištenje </w:t>
      </w:r>
      <w:r w:rsidR="00714D98">
        <w:rPr>
          <w:rFonts w:ascii="Times New Roman" w:eastAsia="Times New Roman" w:hAnsi="Times New Roman"/>
          <w:color w:val="000000"/>
        </w:rPr>
        <w:t>građevina</w:t>
      </w:r>
      <w:r w:rsidRPr="003D082A">
        <w:rPr>
          <w:rFonts w:ascii="Times New Roman" w:eastAsia="Times New Roman" w:hAnsi="Times New Roman"/>
          <w:color w:val="000000"/>
        </w:rPr>
        <w:t xml:space="preserve"> i postrojenja potrebnih za obavljanje tih djelatnosti, u područjima i za djelatnosti propisane posebnim zakonima, </w:t>
      </w:r>
      <w:r w:rsidR="00A86179" w:rsidRPr="003D082A">
        <w:rPr>
          <w:rFonts w:ascii="Times New Roman" w:eastAsia="Times New Roman" w:hAnsi="Times New Roman"/>
          <w:color w:val="000000"/>
        </w:rPr>
        <w:t>Zakon o koncesijama je djelotvornije i učinkovitije propisao provođenje inspekcijskog nadzora od strane ministarstva nadležnog za financije</w:t>
      </w:r>
      <w:r w:rsidRPr="003D082A">
        <w:rPr>
          <w:rFonts w:ascii="Times New Roman" w:eastAsia="Times New Roman" w:hAnsi="Times New Roman"/>
          <w:color w:val="000000"/>
        </w:rPr>
        <w:t xml:space="preserve">. Navedeno je posebno važno ne samo u dijelu provedbe nadzora nad izvršenjem preuzetih obveza iz ugovora o koncesijama, već osobito i u dijelu obavljanja djelatnosti bez propisane koncesije, sve u cilju efikasnijeg suzbijanja svih oblika i modaliteta obavljanja aktivnosti na načine koji odstupaju od pozitivnih normi, poznate kao „siva ekonomija“ i s time povezane pojave evazije u plaćanjima javnih davanja. S tim u vezi u Zakonu o koncesijama </w:t>
      </w:r>
      <w:r w:rsidR="00684249" w:rsidRPr="003D082A">
        <w:rPr>
          <w:rFonts w:ascii="Times New Roman" w:eastAsia="Times New Roman" w:hAnsi="Times New Roman"/>
          <w:color w:val="000000"/>
        </w:rPr>
        <w:t>su propisane</w:t>
      </w:r>
      <w:r w:rsidRPr="003D082A">
        <w:rPr>
          <w:rFonts w:ascii="Times New Roman" w:eastAsia="Times New Roman" w:hAnsi="Times New Roman"/>
          <w:color w:val="000000"/>
        </w:rPr>
        <w:t xml:space="preserve"> upravne mjere i ovlasti inspekcijskog tijela ministarstva nadležnog za financije, kao instrument za provedbu učinkovitog i efikasnog obavljanja nadzora u sustavu koncesija. </w:t>
      </w:r>
    </w:p>
    <w:p w14:paraId="7D330495" w14:textId="77777777" w:rsidR="00D04F02" w:rsidRPr="003D082A" w:rsidRDefault="00D04F02" w:rsidP="00D04F02">
      <w:pPr>
        <w:spacing w:after="0" w:line="240" w:lineRule="auto"/>
        <w:jc w:val="both"/>
        <w:rPr>
          <w:rFonts w:ascii="Times New Roman" w:eastAsia="Times New Roman" w:hAnsi="Times New Roman"/>
          <w:color w:val="000000"/>
        </w:rPr>
      </w:pPr>
    </w:p>
    <w:p w14:paraId="7D330496" w14:textId="77777777" w:rsidR="00D04F02" w:rsidRPr="003D082A" w:rsidRDefault="00684249" w:rsidP="00D04F02">
      <w:pPr>
        <w:spacing w:after="0" w:line="240" w:lineRule="auto"/>
        <w:jc w:val="both"/>
        <w:rPr>
          <w:rFonts w:ascii="Times New Roman" w:eastAsia="Times New Roman" w:hAnsi="Times New Roman"/>
          <w:color w:val="000000"/>
        </w:rPr>
      </w:pPr>
      <w:r w:rsidRPr="003D082A">
        <w:rPr>
          <w:rFonts w:ascii="Times New Roman" w:eastAsia="Times New Roman" w:hAnsi="Times New Roman"/>
          <w:color w:val="000000"/>
        </w:rPr>
        <w:t xml:space="preserve">Zakonom su </w:t>
      </w:r>
      <w:r w:rsidR="00D04F02" w:rsidRPr="003D082A">
        <w:rPr>
          <w:rFonts w:ascii="Times New Roman" w:eastAsia="Times New Roman" w:hAnsi="Times New Roman"/>
          <w:color w:val="000000"/>
        </w:rPr>
        <w:t xml:space="preserve">dodatno </w:t>
      </w:r>
      <w:r w:rsidRPr="003D082A">
        <w:rPr>
          <w:rFonts w:ascii="Times New Roman" w:eastAsia="Times New Roman" w:hAnsi="Times New Roman"/>
          <w:color w:val="000000"/>
        </w:rPr>
        <w:t>uređene</w:t>
      </w:r>
      <w:r w:rsidR="00D04F02" w:rsidRPr="003D082A">
        <w:rPr>
          <w:rFonts w:ascii="Times New Roman" w:eastAsia="Times New Roman" w:hAnsi="Times New Roman"/>
          <w:color w:val="000000"/>
        </w:rPr>
        <w:t xml:space="preserve"> </w:t>
      </w:r>
      <w:r w:rsidR="00FA1587" w:rsidRPr="003D082A">
        <w:rPr>
          <w:rFonts w:ascii="Times New Roman" w:eastAsia="Times New Roman" w:hAnsi="Times New Roman"/>
          <w:color w:val="000000"/>
        </w:rPr>
        <w:t xml:space="preserve">i </w:t>
      </w:r>
      <w:r w:rsidR="00D04F02" w:rsidRPr="003D082A">
        <w:rPr>
          <w:rFonts w:ascii="Times New Roman" w:eastAsia="Times New Roman" w:hAnsi="Times New Roman"/>
          <w:color w:val="000000"/>
        </w:rPr>
        <w:t xml:space="preserve">odredbe o prekršajima, radi preciznijeg izričaja postojećih normi, s povećanim rasponom novčanih kazni, te </w:t>
      </w:r>
      <w:r w:rsidR="00FA1587" w:rsidRPr="003D082A">
        <w:rPr>
          <w:rFonts w:ascii="Times New Roman" w:eastAsia="Times New Roman" w:hAnsi="Times New Roman"/>
          <w:color w:val="000000"/>
        </w:rPr>
        <w:t xml:space="preserve">je </w:t>
      </w:r>
      <w:r w:rsidR="00D04F02" w:rsidRPr="003D082A">
        <w:rPr>
          <w:rFonts w:ascii="Times New Roman" w:eastAsia="Times New Roman" w:hAnsi="Times New Roman"/>
          <w:color w:val="000000"/>
        </w:rPr>
        <w:t xml:space="preserve">postojeći katalog prekršaja dodatno </w:t>
      </w:r>
      <w:r w:rsidR="00FA1587" w:rsidRPr="003D082A">
        <w:rPr>
          <w:rFonts w:ascii="Times New Roman" w:eastAsia="Times New Roman" w:hAnsi="Times New Roman"/>
          <w:color w:val="000000"/>
        </w:rPr>
        <w:t>normiran</w:t>
      </w:r>
      <w:r w:rsidR="00D04F02" w:rsidRPr="003D082A">
        <w:rPr>
          <w:rFonts w:ascii="Times New Roman" w:eastAsia="Times New Roman" w:hAnsi="Times New Roman"/>
          <w:color w:val="000000"/>
        </w:rPr>
        <w:t xml:space="preserve"> uvođenjem novih prekršaja svih subjekata odgovornih za poštivanje i provođenje Zakona o koncesijama, što se odnosi i na davatelje koncesije i koncesionara, ali i na sve osobe koje obavljaju djelatnost bez propisane koncesije te sve osobe koje na bilo koji način sudjeluju u takvom protupravnom postupanju. </w:t>
      </w:r>
    </w:p>
    <w:p w14:paraId="7D330497" w14:textId="77777777" w:rsidR="00D04F02" w:rsidRPr="003D082A" w:rsidRDefault="00D04F02" w:rsidP="00D04F02">
      <w:pPr>
        <w:spacing w:after="0" w:line="240" w:lineRule="auto"/>
        <w:jc w:val="both"/>
        <w:rPr>
          <w:rFonts w:ascii="Times New Roman" w:eastAsia="Times New Roman" w:hAnsi="Times New Roman"/>
          <w:color w:val="000000"/>
        </w:rPr>
      </w:pPr>
    </w:p>
    <w:p w14:paraId="7D330498" w14:textId="77777777" w:rsidR="00D04F02" w:rsidRPr="003D082A" w:rsidRDefault="00D04F02" w:rsidP="00D04F02">
      <w:pPr>
        <w:spacing w:after="0" w:line="240" w:lineRule="auto"/>
        <w:jc w:val="both"/>
        <w:rPr>
          <w:rFonts w:ascii="Times New Roman" w:eastAsia="Times New Roman" w:hAnsi="Times New Roman"/>
          <w:color w:val="000000"/>
        </w:rPr>
      </w:pPr>
      <w:r w:rsidRPr="003D082A">
        <w:rPr>
          <w:rFonts w:ascii="Times New Roman" w:eastAsia="Times New Roman" w:hAnsi="Times New Roman"/>
          <w:color w:val="000000"/>
        </w:rPr>
        <w:t>Prekršaji se sistematiziraju kroz tri stupnja (najteži, srednji i lakši) te se ovisno o kategorizaciji utvrđuju različite visine raspona novčane kazne za prekršaj pravne osobe, odnosno odgovorne osobe, kao i fizičke osobe, fizičke osobe obrtnika i osobe koja obavlja drugu samostalnu djelatnost. Za najtežu kategoriju prekršaja, koji obuhvaćaju i obavljanje djelatnosti za koju je potrebna koncesija bez koncesije kao i obavljanje djelatnosti izvan opsega koncesije koji je određen ugovorom o koncesiji, predviđa se oduzimanje predmeta i sredstava koji su bili namijeni ili uporabljeni za počinjenje prekršaja.</w:t>
      </w:r>
    </w:p>
    <w:p w14:paraId="7D330499" w14:textId="77777777" w:rsidR="00D04F02" w:rsidRPr="003D082A" w:rsidRDefault="00D04F02" w:rsidP="00D04F02">
      <w:pPr>
        <w:spacing w:after="0" w:line="240" w:lineRule="auto"/>
        <w:jc w:val="both"/>
        <w:rPr>
          <w:rFonts w:ascii="Times New Roman" w:eastAsia="Times New Roman" w:hAnsi="Times New Roman"/>
          <w:color w:val="000000"/>
        </w:rPr>
      </w:pPr>
    </w:p>
    <w:p w14:paraId="7D33049A" w14:textId="77777777" w:rsidR="00D04F02" w:rsidRPr="003D082A" w:rsidRDefault="00D04F02" w:rsidP="00D04F02">
      <w:pPr>
        <w:spacing w:after="0" w:line="240" w:lineRule="auto"/>
        <w:jc w:val="both"/>
        <w:rPr>
          <w:rFonts w:ascii="Times New Roman" w:eastAsia="Times New Roman" w:hAnsi="Times New Roman"/>
          <w:color w:val="000000"/>
        </w:rPr>
      </w:pPr>
      <w:r w:rsidRPr="003D082A">
        <w:rPr>
          <w:rFonts w:ascii="Times New Roman" w:eastAsia="Times New Roman" w:hAnsi="Times New Roman"/>
          <w:color w:val="000000"/>
        </w:rPr>
        <w:t xml:space="preserve">Istovremeno se </w:t>
      </w:r>
      <w:r w:rsidR="00684249" w:rsidRPr="003D082A">
        <w:rPr>
          <w:rFonts w:ascii="Times New Roman" w:eastAsia="Times New Roman" w:hAnsi="Times New Roman"/>
          <w:color w:val="000000"/>
        </w:rPr>
        <w:t>Zakonom uvodi</w:t>
      </w:r>
      <w:r w:rsidRPr="003D082A">
        <w:rPr>
          <w:rFonts w:ascii="Times New Roman" w:eastAsia="Times New Roman" w:hAnsi="Times New Roman"/>
          <w:color w:val="000000"/>
        </w:rPr>
        <w:t xml:space="preserve"> jedinstven</w:t>
      </w:r>
      <w:r w:rsidR="00684249" w:rsidRPr="003D082A">
        <w:rPr>
          <w:rFonts w:ascii="Times New Roman" w:eastAsia="Times New Roman" w:hAnsi="Times New Roman"/>
          <w:color w:val="000000"/>
        </w:rPr>
        <w:t>i</w:t>
      </w:r>
      <w:r w:rsidRPr="003D082A">
        <w:rPr>
          <w:rFonts w:ascii="Times New Roman" w:eastAsia="Times New Roman" w:hAnsi="Times New Roman"/>
          <w:color w:val="000000"/>
        </w:rPr>
        <w:t xml:space="preserve"> model vođenja carinsko-prekršajnog postupka na temelju optužnog prijedloga ovlaštenog tužitelja, a u svrhu jačanja uloge ovlaštenog tužitelja i ujednačenosti prekršajnog postupanja državnih tijela sukladno Prekršajnom zakonu (Narodne novine, </w:t>
      </w:r>
      <w:r w:rsidR="00307002" w:rsidRPr="003D082A">
        <w:rPr>
          <w:rFonts w:ascii="Times New Roman" w:eastAsia="Times New Roman" w:hAnsi="Times New Roman"/>
          <w:color w:val="000000"/>
        </w:rPr>
        <w:t>broj</w:t>
      </w:r>
      <w:r w:rsidRPr="003D082A">
        <w:rPr>
          <w:rFonts w:ascii="Times New Roman" w:eastAsia="Times New Roman" w:hAnsi="Times New Roman"/>
          <w:color w:val="000000"/>
        </w:rPr>
        <w:t xml:space="preserve"> 107/07, 39/13, 157/13 i 110/15). </w:t>
      </w:r>
    </w:p>
    <w:p w14:paraId="7D33049B" w14:textId="77777777" w:rsidR="00FE777B" w:rsidRPr="003D082A" w:rsidRDefault="00FE777B" w:rsidP="00684249">
      <w:pPr>
        <w:spacing w:after="0" w:line="240" w:lineRule="auto"/>
        <w:jc w:val="both"/>
        <w:rPr>
          <w:rFonts w:ascii="Times New Roman" w:hAnsi="Times New Roman"/>
          <w:lang w:eastAsia="hr-HR"/>
        </w:rPr>
      </w:pPr>
    </w:p>
    <w:p w14:paraId="7D33049C" w14:textId="77777777" w:rsidR="00B41E67" w:rsidRPr="003D082A" w:rsidRDefault="004911C4" w:rsidP="003D082A">
      <w:pPr>
        <w:spacing w:line="240" w:lineRule="auto"/>
        <w:jc w:val="both"/>
        <w:rPr>
          <w:rFonts w:ascii="Times New Roman" w:hAnsi="Times New Roman"/>
          <w:lang w:eastAsia="hr-HR"/>
        </w:rPr>
      </w:pPr>
      <w:r w:rsidRPr="003D082A">
        <w:rPr>
          <w:rFonts w:ascii="Times New Roman" w:hAnsi="Times New Roman"/>
          <w:lang w:eastAsia="hr-HR"/>
        </w:rPr>
        <w:t>Stoga, a uzimajući u obzir ciljeve uređene odredbama krovnog zakona</w:t>
      </w:r>
      <w:r w:rsidR="000A21E2">
        <w:rPr>
          <w:rFonts w:ascii="Times New Roman" w:hAnsi="Times New Roman"/>
          <w:lang w:eastAsia="hr-HR"/>
        </w:rPr>
        <w:t>,</w:t>
      </w:r>
      <w:r w:rsidRPr="003D082A">
        <w:rPr>
          <w:rFonts w:ascii="Times New Roman" w:hAnsi="Times New Roman"/>
          <w:lang w:eastAsia="hr-HR"/>
        </w:rPr>
        <w:t xml:space="preserve"> nužno je težiti provedbi koncesioniranja uz znatno veći angažman davatelja koncesija bilo da se radi o državnoj ili lokalnoj razini.</w:t>
      </w:r>
    </w:p>
    <w:p w14:paraId="7D33049D" w14:textId="77777777" w:rsidR="00E513D2" w:rsidRPr="003D082A" w:rsidRDefault="00E513D2" w:rsidP="00E513D2">
      <w:pPr>
        <w:spacing w:after="0" w:line="240" w:lineRule="auto"/>
        <w:jc w:val="both"/>
        <w:rPr>
          <w:rFonts w:ascii="Times New Roman" w:hAnsi="Times New Roman"/>
          <w:lang w:eastAsia="hr-HR"/>
        </w:rPr>
      </w:pPr>
      <w:r w:rsidRPr="003D082A">
        <w:rPr>
          <w:rFonts w:ascii="Times New Roman" w:hAnsi="Times New Roman"/>
          <w:lang w:eastAsia="hr-HR"/>
        </w:rPr>
        <w:t>Vezano uz politiku koncesija provođenje nadzora nad izvršavanjem ugovornih obveza važno je za istaknuti kako Zakon o koncesija</w:t>
      </w:r>
      <w:r w:rsidR="0075773E">
        <w:rPr>
          <w:rFonts w:ascii="Times New Roman" w:hAnsi="Times New Roman"/>
          <w:lang w:eastAsia="hr-HR"/>
        </w:rPr>
        <w:t>ma</w:t>
      </w:r>
      <w:r w:rsidRPr="003D082A">
        <w:rPr>
          <w:rFonts w:ascii="Times New Roman" w:hAnsi="Times New Roman"/>
          <w:lang w:eastAsia="hr-HR"/>
        </w:rPr>
        <w:t xml:space="preserve"> propisuje strožiji režim nadzora koje provodi Ministarstvo financija/Carinska uprava, a koja postupa samostalno i/ili u suradnji s </w:t>
      </w:r>
      <w:r w:rsidR="0090108A" w:rsidRPr="003D082A">
        <w:rPr>
          <w:rFonts w:ascii="Times New Roman" w:hAnsi="Times New Roman"/>
          <w:lang w:eastAsia="hr-HR"/>
        </w:rPr>
        <w:t>davateljima koncesija</w:t>
      </w:r>
      <w:r w:rsidRPr="003D082A">
        <w:rPr>
          <w:rFonts w:ascii="Times New Roman" w:hAnsi="Times New Roman"/>
          <w:lang w:eastAsia="hr-HR"/>
        </w:rPr>
        <w:t xml:space="preserve"> prema onim koncesionarima koji neuredno plaćaju koncesijske naknade ili obavljaju koncesiju izvan opsega uređenog ugovorom o koncesiji. </w:t>
      </w:r>
    </w:p>
    <w:p w14:paraId="7D33049E" w14:textId="77777777" w:rsidR="00E513D2" w:rsidRPr="003D082A" w:rsidRDefault="00E513D2" w:rsidP="00E513D2">
      <w:pPr>
        <w:spacing w:after="0" w:line="240" w:lineRule="auto"/>
        <w:jc w:val="both"/>
        <w:rPr>
          <w:rFonts w:ascii="Times New Roman" w:hAnsi="Times New Roman"/>
          <w:lang w:eastAsia="hr-HR"/>
        </w:rPr>
      </w:pPr>
    </w:p>
    <w:p w14:paraId="7D33049F" w14:textId="77777777" w:rsidR="00E513D2" w:rsidRPr="003D082A" w:rsidRDefault="00E513D2" w:rsidP="00E513D2">
      <w:pPr>
        <w:spacing w:after="0" w:line="240" w:lineRule="auto"/>
        <w:jc w:val="both"/>
        <w:rPr>
          <w:rFonts w:ascii="Times New Roman" w:hAnsi="Times New Roman"/>
          <w:lang w:eastAsia="hr-HR"/>
        </w:rPr>
      </w:pPr>
      <w:r w:rsidRPr="003D082A">
        <w:rPr>
          <w:rFonts w:ascii="Times New Roman" w:hAnsi="Times New Roman"/>
          <w:lang w:eastAsia="hr-HR"/>
        </w:rPr>
        <w:t xml:space="preserve">Zakon o koncesijama jasno propisuje obveze davatelja </w:t>
      </w:r>
      <w:r w:rsidR="0090108A" w:rsidRPr="003D082A">
        <w:rPr>
          <w:rFonts w:ascii="Times New Roman" w:hAnsi="Times New Roman"/>
          <w:lang w:eastAsia="hr-HR"/>
        </w:rPr>
        <w:t xml:space="preserve">koncesija </w:t>
      </w:r>
      <w:r w:rsidRPr="003D082A">
        <w:rPr>
          <w:rFonts w:ascii="Times New Roman" w:hAnsi="Times New Roman"/>
          <w:lang w:eastAsia="hr-HR"/>
        </w:rPr>
        <w:t xml:space="preserve">u izvršavanju ugovora o koncesiji koje posebice podrazumijevaju praćenje izvršenje ugovora o koncesiji kod plaćanja naknade za koncesiju, te obavljanja djelatnosti za koju je sklopljen ugovor o koncesiji. U onim slučajevima u kojima koncesionar ne izvršava redovitu uplatu naknade za koncesiju, </w:t>
      </w:r>
      <w:r w:rsidRPr="003D082A">
        <w:rPr>
          <w:rFonts w:ascii="Times New Roman" w:hAnsi="Times New Roman"/>
          <w:lang w:eastAsia="hr-HR"/>
        </w:rPr>
        <w:lastRenderedPageBreak/>
        <w:t>davatelj</w:t>
      </w:r>
      <w:r w:rsidR="0090108A" w:rsidRPr="003D082A">
        <w:rPr>
          <w:rFonts w:ascii="Times New Roman" w:hAnsi="Times New Roman"/>
          <w:lang w:eastAsia="hr-HR"/>
        </w:rPr>
        <w:t>i</w:t>
      </w:r>
      <w:r w:rsidRPr="003D082A">
        <w:rPr>
          <w:rFonts w:ascii="Times New Roman" w:hAnsi="Times New Roman"/>
          <w:lang w:eastAsia="hr-HR"/>
        </w:rPr>
        <w:t xml:space="preserve"> koncesij</w:t>
      </w:r>
      <w:r w:rsidR="0090108A" w:rsidRPr="003D082A">
        <w:rPr>
          <w:rFonts w:ascii="Times New Roman" w:hAnsi="Times New Roman"/>
          <w:lang w:eastAsia="hr-HR"/>
        </w:rPr>
        <w:t>a</w:t>
      </w:r>
      <w:r w:rsidRPr="003D082A">
        <w:rPr>
          <w:rFonts w:ascii="Times New Roman" w:hAnsi="Times New Roman"/>
          <w:lang w:eastAsia="hr-HR"/>
        </w:rPr>
        <w:t xml:space="preserve"> </w:t>
      </w:r>
      <w:r w:rsidR="0090108A" w:rsidRPr="003D082A">
        <w:rPr>
          <w:rFonts w:ascii="Times New Roman" w:hAnsi="Times New Roman"/>
          <w:lang w:eastAsia="hr-HR"/>
        </w:rPr>
        <w:t>duž</w:t>
      </w:r>
      <w:r w:rsidRPr="003D082A">
        <w:rPr>
          <w:rFonts w:ascii="Times New Roman" w:hAnsi="Times New Roman"/>
          <w:lang w:eastAsia="hr-HR"/>
        </w:rPr>
        <w:t>n</w:t>
      </w:r>
      <w:r w:rsidR="0090108A" w:rsidRPr="003D082A">
        <w:rPr>
          <w:rFonts w:ascii="Times New Roman" w:hAnsi="Times New Roman"/>
          <w:lang w:eastAsia="hr-HR"/>
        </w:rPr>
        <w:t>i su</w:t>
      </w:r>
      <w:r w:rsidRPr="003D082A">
        <w:rPr>
          <w:rFonts w:ascii="Times New Roman" w:hAnsi="Times New Roman"/>
          <w:lang w:eastAsia="hr-HR"/>
        </w:rPr>
        <w:t xml:space="preserve"> poduzeti sve mjere kako bi se ista naplatila kao i pripadajuće zakonske zatezne kamate. Pritom, davatelj</w:t>
      </w:r>
      <w:r w:rsidR="00A424B5" w:rsidRPr="003D082A">
        <w:rPr>
          <w:rFonts w:ascii="Times New Roman" w:hAnsi="Times New Roman"/>
          <w:lang w:eastAsia="hr-HR"/>
        </w:rPr>
        <w:t>i koncesija</w:t>
      </w:r>
      <w:r w:rsidRPr="003D082A">
        <w:rPr>
          <w:rFonts w:ascii="Times New Roman" w:hAnsi="Times New Roman"/>
          <w:lang w:eastAsia="hr-HR"/>
        </w:rPr>
        <w:t xml:space="preserve"> </w:t>
      </w:r>
      <w:r w:rsidR="00A424B5" w:rsidRPr="003D082A">
        <w:rPr>
          <w:rFonts w:ascii="Times New Roman" w:hAnsi="Times New Roman"/>
          <w:lang w:eastAsia="hr-HR"/>
        </w:rPr>
        <w:t>koriste mjere kojima opominju</w:t>
      </w:r>
      <w:r w:rsidRPr="003D082A">
        <w:rPr>
          <w:rFonts w:ascii="Times New Roman" w:hAnsi="Times New Roman"/>
          <w:lang w:eastAsia="hr-HR"/>
        </w:rPr>
        <w:t xml:space="preserve"> koncesionara, te u konačnici provod</w:t>
      </w:r>
      <w:r w:rsidR="00A424B5" w:rsidRPr="003D082A">
        <w:rPr>
          <w:rFonts w:ascii="Times New Roman" w:hAnsi="Times New Roman"/>
          <w:lang w:eastAsia="hr-HR"/>
        </w:rPr>
        <w:t>e</w:t>
      </w:r>
      <w:r w:rsidRPr="003D082A">
        <w:rPr>
          <w:rFonts w:ascii="Times New Roman" w:hAnsi="Times New Roman"/>
          <w:lang w:eastAsia="hr-HR"/>
        </w:rPr>
        <w:t xml:space="preserve"> prisilnu naplatu koristeći se jamstvima za provedbu ugovora. U takvim slučajevima uobičajena je provedba dodatnog inspekcijskog nadzora i davatelj</w:t>
      </w:r>
      <w:r w:rsidR="00A424B5" w:rsidRPr="003D082A">
        <w:rPr>
          <w:rFonts w:ascii="Times New Roman" w:hAnsi="Times New Roman"/>
          <w:lang w:eastAsia="hr-HR"/>
        </w:rPr>
        <w:t>i</w:t>
      </w:r>
      <w:r w:rsidRPr="003D082A">
        <w:rPr>
          <w:rFonts w:ascii="Times New Roman" w:hAnsi="Times New Roman"/>
          <w:lang w:eastAsia="hr-HR"/>
        </w:rPr>
        <w:t xml:space="preserve"> </w:t>
      </w:r>
      <w:r w:rsidR="00A424B5" w:rsidRPr="003D082A">
        <w:rPr>
          <w:rFonts w:ascii="Times New Roman" w:hAnsi="Times New Roman"/>
          <w:lang w:eastAsia="hr-HR"/>
        </w:rPr>
        <w:t>koncesija</w:t>
      </w:r>
      <w:r w:rsidR="00235530" w:rsidRPr="003D082A">
        <w:rPr>
          <w:rFonts w:ascii="Times New Roman" w:hAnsi="Times New Roman"/>
          <w:lang w:eastAsia="hr-HR"/>
        </w:rPr>
        <w:t xml:space="preserve"> </w:t>
      </w:r>
      <w:r w:rsidR="00A424B5" w:rsidRPr="003D082A">
        <w:rPr>
          <w:rFonts w:ascii="Times New Roman" w:hAnsi="Times New Roman"/>
          <w:lang w:eastAsia="hr-HR"/>
        </w:rPr>
        <w:t>dužni su</w:t>
      </w:r>
      <w:r w:rsidR="00235530" w:rsidRPr="003D082A">
        <w:rPr>
          <w:rFonts w:ascii="Times New Roman" w:hAnsi="Times New Roman"/>
          <w:lang w:eastAsia="hr-HR"/>
        </w:rPr>
        <w:t xml:space="preserve"> </w:t>
      </w:r>
      <w:r w:rsidRPr="003D082A">
        <w:rPr>
          <w:rFonts w:ascii="Times New Roman" w:hAnsi="Times New Roman"/>
          <w:lang w:eastAsia="hr-HR"/>
        </w:rPr>
        <w:t>istu provesti samostalno i/</w:t>
      </w:r>
      <w:r w:rsidR="0075773E">
        <w:rPr>
          <w:rFonts w:ascii="Times New Roman" w:hAnsi="Times New Roman"/>
          <w:lang w:eastAsia="hr-HR"/>
        </w:rPr>
        <w:t>i</w:t>
      </w:r>
      <w:r w:rsidRPr="003D082A">
        <w:rPr>
          <w:rFonts w:ascii="Times New Roman" w:hAnsi="Times New Roman"/>
          <w:lang w:eastAsia="hr-HR"/>
        </w:rPr>
        <w:t>li u suradnji s drugim inspekcijskim tijelima, a poglavito Ministarstvom financija. Kada se uoče nepravilnosti koje imaju različitu narav kršenja prava, a koj</w:t>
      </w:r>
      <w:r w:rsidR="00A424B5" w:rsidRPr="003D082A">
        <w:rPr>
          <w:rFonts w:ascii="Times New Roman" w:hAnsi="Times New Roman"/>
          <w:lang w:eastAsia="hr-HR"/>
        </w:rPr>
        <w:t>e podliježu</w:t>
      </w:r>
      <w:r w:rsidRPr="003D082A">
        <w:rPr>
          <w:rFonts w:ascii="Times New Roman" w:hAnsi="Times New Roman"/>
          <w:lang w:eastAsia="hr-HR"/>
        </w:rPr>
        <w:t xml:space="preserve"> i kaznenim odredbama davatelj koncesije dužan je o tome </w:t>
      </w:r>
      <w:r w:rsidR="00235530" w:rsidRPr="003D082A">
        <w:rPr>
          <w:rFonts w:ascii="Times New Roman" w:hAnsi="Times New Roman"/>
          <w:lang w:eastAsia="hr-HR"/>
        </w:rPr>
        <w:t>obavijestiti</w:t>
      </w:r>
      <w:r w:rsidRPr="003D082A">
        <w:rPr>
          <w:rFonts w:ascii="Times New Roman" w:hAnsi="Times New Roman"/>
          <w:lang w:eastAsia="hr-HR"/>
        </w:rPr>
        <w:t xml:space="preserve"> i nadležna državna odvjetništva. </w:t>
      </w:r>
    </w:p>
    <w:p w14:paraId="7D3304A0" w14:textId="77777777" w:rsidR="00563BCF" w:rsidRPr="003D082A" w:rsidRDefault="00563BCF" w:rsidP="00E513D2">
      <w:pPr>
        <w:spacing w:after="0" w:line="240" w:lineRule="auto"/>
        <w:jc w:val="both"/>
        <w:rPr>
          <w:rFonts w:ascii="Times New Roman" w:hAnsi="Times New Roman"/>
          <w:lang w:eastAsia="hr-HR"/>
        </w:rPr>
      </w:pPr>
    </w:p>
    <w:p w14:paraId="7D3304A1" w14:textId="77777777" w:rsidR="00E519CA" w:rsidRPr="003D082A" w:rsidRDefault="00301844" w:rsidP="003D082A">
      <w:pPr>
        <w:spacing w:line="240" w:lineRule="auto"/>
        <w:jc w:val="both"/>
        <w:rPr>
          <w:rFonts w:ascii="Times New Roman" w:hAnsi="Times New Roman"/>
          <w:lang w:eastAsia="hr-HR"/>
        </w:rPr>
      </w:pPr>
      <w:r w:rsidRPr="003D082A">
        <w:rPr>
          <w:rFonts w:ascii="Times New Roman" w:hAnsi="Times New Roman"/>
          <w:lang w:eastAsia="hr-HR"/>
        </w:rPr>
        <w:t>Nadležne inspekcijske službe Ministarstva financija poduzimaju mjere i kontroliraju procese naplate, te su nadležni za postupanja nad davateljem koncesije, ali i nad koncesionarom, čime se jača praćenje koncesija i eventualnih neplaćanja naknada, te se provodi sankcioniranje kršenja ugovornog odnosa između davatelja koncesije i koncesionara.</w:t>
      </w:r>
    </w:p>
    <w:p w14:paraId="7D3304A2" w14:textId="77777777" w:rsidR="00301844" w:rsidRPr="00235530" w:rsidRDefault="00614A59" w:rsidP="00301844">
      <w:pPr>
        <w:spacing w:after="0" w:line="240" w:lineRule="auto"/>
        <w:jc w:val="both"/>
        <w:rPr>
          <w:rFonts w:ascii="Times New Roman" w:hAnsi="Times New Roman"/>
          <w:bCs/>
        </w:rPr>
      </w:pPr>
      <w:r w:rsidRPr="003D082A">
        <w:rPr>
          <w:rFonts w:ascii="Times New Roman" w:hAnsi="Times New Roman"/>
          <w:bCs/>
        </w:rPr>
        <w:t>T</w:t>
      </w:r>
      <w:r w:rsidR="00301844" w:rsidRPr="003D082A">
        <w:rPr>
          <w:rFonts w:ascii="Times New Roman" w:hAnsi="Times New Roman"/>
          <w:bCs/>
        </w:rPr>
        <w:t>ijekom 201</w:t>
      </w:r>
      <w:r w:rsidR="00593784">
        <w:rPr>
          <w:rFonts w:ascii="Times New Roman" w:hAnsi="Times New Roman"/>
          <w:bCs/>
        </w:rPr>
        <w:t>9</w:t>
      </w:r>
      <w:r w:rsidR="00301844" w:rsidRPr="003D082A">
        <w:rPr>
          <w:rFonts w:ascii="Times New Roman" w:hAnsi="Times New Roman"/>
          <w:bCs/>
        </w:rPr>
        <w:t xml:space="preserve">. godine Ministarstvo financija poduzimalo </w:t>
      </w:r>
      <w:r w:rsidR="00FA1587" w:rsidRPr="003D082A">
        <w:rPr>
          <w:rFonts w:ascii="Times New Roman" w:hAnsi="Times New Roman"/>
          <w:bCs/>
        </w:rPr>
        <w:t xml:space="preserve">je </w:t>
      </w:r>
      <w:r w:rsidR="00301844" w:rsidRPr="003D082A">
        <w:rPr>
          <w:rFonts w:ascii="Times New Roman" w:hAnsi="Times New Roman"/>
          <w:bCs/>
        </w:rPr>
        <w:t>određene aktivnosti koje su prvenstveno bile usmjerene ka boljoj naplati koncesijskih naknada, a provođene su u suradnji s djelatnicima Carinske uprave, čime su postignuti određeni napreci i to prvenstveno u pogledu sankcioniranja nezakonitosti rada koncesionara, kao i djelatnosti koje su se obavljale bez ugovora o koncesiji.</w:t>
      </w:r>
      <w:r w:rsidR="00301844" w:rsidRPr="00235530">
        <w:rPr>
          <w:rFonts w:ascii="Times New Roman" w:hAnsi="Times New Roman"/>
          <w:bCs/>
        </w:rPr>
        <w:t xml:space="preserve"> </w:t>
      </w:r>
    </w:p>
    <w:p w14:paraId="7D3304A3" w14:textId="77777777" w:rsidR="00301844" w:rsidRDefault="00301844" w:rsidP="00301844">
      <w:pPr>
        <w:spacing w:line="240" w:lineRule="auto"/>
        <w:jc w:val="both"/>
        <w:rPr>
          <w:rFonts w:ascii="Times New Roman" w:hAnsi="Times New Roman"/>
          <w:highlight w:val="yellow"/>
        </w:rPr>
      </w:pPr>
    </w:p>
    <w:p w14:paraId="7D3304A4" w14:textId="77777777" w:rsidR="00A424B5" w:rsidRDefault="00A424B5" w:rsidP="00301844">
      <w:pPr>
        <w:spacing w:line="240" w:lineRule="auto"/>
        <w:jc w:val="both"/>
        <w:rPr>
          <w:rFonts w:ascii="Times New Roman" w:hAnsi="Times New Roman"/>
          <w:highlight w:val="yellow"/>
        </w:rPr>
      </w:pPr>
    </w:p>
    <w:p w14:paraId="7D3304A5" w14:textId="77777777" w:rsidR="00A424B5" w:rsidRDefault="00A424B5" w:rsidP="00301844">
      <w:pPr>
        <w:spacing w:line="240" w:lineRule="auto"/>
        <w:jc w:val="both"/>
        <w:rPr>
          <w:rFonts w:ascii="Times New Roman" w:hAnsi="Times New Roman"/>
          <w:highlight w:val="yellow"/>
        </w:rPr>
      </w:pPr>
    </w:p>
    <w:p w14:paraId="7D3304A6" w14:textId="77777777" w:rsidR="00FE777B" w:rsidRDefault="00FE777B" w:rsidP="00301844">
      <w:pPr>
        <w:spacing w:line="240" w:lineRule="auto"/>
        <w:jc w:val="both"/>
        <w:rPr>
          <w:rFonts w:ascii="Times New Roman" w:hAnsi="Times New Roman"/>
          <w:highlight w:val="yellow"/>
        </w:rPr>
      </w:pPr>
    </w:p>
    <w:p w14:paraId="7D3304A7" w14:textId="77777777" w:rsidR="00FE777B" w:rsidRDefault="00FE777B" w:rsidP="00301844">
      <w:pPr>
        <w:spacing w:line="240" w:lineRule="auto"/>
        <w:jc w:val="both"/>
        <w:rPr>
          <w:rFonts w:ascii="Times New Roman" w:hAnsi="Times New Roman"/>
          <w:highlight w:val="yellow"/>
        </w:rPr>
      </w:pPr>
    </w:p>
    <w:p w14:paraId="7D3304A8" w14:textId="77777777" w:rsidR="006409A4" w:rsidRDefault="006409A4" w:rsidP="00301844">
      <w:pPr>
        <w:spacing w:line="240" w:lineRule="auto"/>
        <w:jc w:val="both"/>
        <w:rPr>
          <w:rFonts w:ascii="Times New Roman" w:hAnsi="Times New Roman"/>
          <w:highlight w:val="yellow"/>
        </w:rPr>
      </w:pPr>
    </w:p>
    <w:p w14:paraId="7D3304A9" w14:textId="77777777" w:rsidR="00FE777B" w:rsidRDefault="00FE777B" w:rsidP="00301844">
      <w:pPr>
        <w:spacing w:line="240" w:lineRule="auto"/>
        <w:jc w:val="both"/>
        <w:rPr>
          <w:rFonts w:ascii="Times New Roman" w:hAnsi="Times New Roman"/>
          <w:highlight w:val="yellow"/>
        </w:rPr>
      </w:pPr>
    </w:p>
    <w:p w14:paraId="7D3304AA" w14:textId="77777777" w:rsidR="00911414" w:rsidRPr="003C396B" w:rsidRDefault="00911414" w:rsidP="001128CA">
      <w:pPr>
        <w:pStyle w:val="Heading1"/>
        <w:rPr>
          <w:rStyle w:val="IntenseReference"/>
          <w:rFonts w:ascii="Times New Roman" w:hAnsi="Times New Roman" w:cs="Times New Roman"/>
          <w:b/>
          <w:color w:val="auto"/>
          <w:sz w:val="24"/>
          <w:szCs w:val="24"/>
        </w:rPr>
      </w:pPr>
      <w:bookmarkStart w:id="2" w:name="_Toc526419490"/>
      <w:r w:rsidRPr="003C396B">
        <w:rPr>
          <w:rStyle w:val="IntenseReference"/>
          <w:rFonts w:ascii="Times New Roman" w:hAnsi="Times New Roman" w:cs="Times New Roman"/>
          <w:b/>
          <w:color w:val="auto"/>
          <w:sz w:val="24"/>
          <w:szCs w:val="24"/>
        </w:rPr>
        <w:t>2. REGISTAR KONCESIJA</w:t>
      </w:r>
      <w:bookmarkEnd w:id="2"/>
    </w:p>
    <w:p w14:paraId="7D3304AB" w14:textId="77777777" w:rsidR="00911414" w:rsidRPr="00235530" w:rsidRDefault="00911414" w:rsidP="00995044">
      <w:pPr>
        <w:spacing w:after="0" w:line="240" w:lineRule="auto"/>
        <w:jc w:val="both"/>
        <w:rPr>
          <w:rFonts w:ascii="Times New Roman" w:hAnsi="Times New Roman"/>
          <w:lang w:eastAsia="hr-HR"/>
        </w:rPr>
      </w:pPr>
    </w:p>
    <w:p w14:paraId="7D3304AC" w14:textId="77777777" w:rsidR="00911414" w:rsidRPr="00235530" w:rsidRDefault="00911414" w:rsidP="00995044">
      <w:pPr>
        <w:spacing w:after="0" w:line="240" w:lineRule="auto"/>
        <w:jc w:val="both"/>
        <w:rPr>
          <w:rFonts w:ascii="Times New Roman" w:hAnsi="Times New Roman"/>
          <w:b/>
          <w:lang w:eastAsia="hr-HR"/>
        </w:rPr>
      </w:pPr>
      <w:r w:rsidRPr="00235530">
        <w:rPr>
          <w:rFonts w:ascii="Times New Roman" w:hAnsi="Times New Roman"/>
          <w:b/>
          <w:lang w:eastAsia="hr-HR"/>
        </w:rPr>
        <w:t>Uvodno</w:t>
      </w:r>
    </w:p>
    <w:p w14:paraId="7D3304AD" w14:textId="77777777" w:rsidR="00911414" w:rsidRPr="00235530" w:rsidRDefault="00911414" w:rsidP="00995044">
      <w:pPr>
        <w:spacing w:after="0" w:line="240" w:lineRule="auto"/>
        <w:jc w:val="both"/>
        <w:rPr>
          <w:rFonts w:ascii="Times New Roman" w:hAnsi="Times New Roman"/>
          <w:b/>
          <w:bCs/>
          <w:lang w:eastAsia="hr-HR"/>
        </w:rPr>
      </w:pPr>
    </w:p>
    <w:p w14:paraId="7D3304AE" w14:textId="77777777" w:rsidR="00911414" w:rsidRPr="00235530" w:rsidRDefault="00911414" w:rsidP="00995044">
      <w:pPr>
        <w:spacing w:after="0" w:line="240" w:lineRule="auto"/>
        <w:jc w:val="both"/>
        <w:rPr>
          <w:rFonts w:ascii="Times New Roman" w:hAnsi="Times New Roman"/>
          <w:bCs/>
          <w:lang w:eastAsia="hr-HR"/>
        </w:rPr>
      </w:pPr>
      <w:r w:rsidRPr="00235530">
        <w:rPr>
          <w:rFonts w:ascii="Times New Roman" w:hAnsi="Times New Roman"/>
          <w:bCs/>
          <w:lang w:eastAsia="hr-HR"/>
        </w:rPr>
        <w:t>Registar koncesija jedinstvena je elektronička evidencija svih ugovora o koncesijama na području Republike Hrvatske, a koju vodi Ministarstvo financija uz stalnu tehničku podršku Financijske agencije.</w:t>
      </w:r>
    </w:p>
    <w:p w14:paraId="7D3304AF" w14:textId="77777777" w:rsidR="00911414" w:rsidRPr="00235530" w:rsidRDefault="00911414" w:rsidP="00995044">
      <w:pPr>
        <w:spacing w:after="0" w:line="240" w:lineRule="auto"/>
        <w:jc w:val="both"/>
        <w:rPr>
          <w:rFonts w:ascii="Times New Roman" w:hAnsi="Times New Roman"/>
          <w:b/>
          <w:bCs/>
          <w:lang w:eastAsia="hr-HR"/>
        </w:rPr>
      </w:pPr>
    </w:p>
    <w:p w14:paraId="7D3304B0" w14:textId="77777777" w:rsidR="00911414" w:rsidRPr="00235530" w:rsidRDefault="00911414" w:rsidP="00995044">
      <w:pPr>
        <w:spacing w:after="0" w:line="240" w:lineRule="auto"/>
        <w:jc w:val="both"/>
        <w:rPr>
          <w:rFonts w:ascii="Times New Roman" w:hAnsi="Times New Roman"/>
          <w:bCs/>
          <w:lang w:eastAsia="hr-HR"/>
        </w:rPr>
      </w:pPr>
      <w:r w:rsidRPr="00235530">
        <w:rPr>
          <w:rFonts w:ascii="Times New Roman" w:hAnsi="Times New Roman"/>
          <w:bCs/>
          <w:lang w:eastAsia="hr-HR"/>
        </w:rPr>
        <w:t>Registar koncesija kreira evidenciju svih danih koncesija u Republici Hrvatskoj u svrhu praćenja izvršavanja ugovora o koncesijama, prvenstveno radi praćenja  izvršavanje obveza koncesionara. Baza podataka Registra koncesija kreirana je na način da  omogući davateljima koncesija stalno praćenje izvršavanja obveza koncesionara.</w:t>
      </w:r>
    </w:p>
    <w:p w14:paraId="7D3304B1" w14:textId="77777777" w:rsidR="00911414" w:rsidRPr="00235530" w:rsidRDefault="00911414" w:rsidP="00995044">
      <w:pPr>
        <w:spacing w:after="0" w:line="240" w:lineRule="auto"/>
        <w:jc w:val="both"/>
        <w:rPr>
          <w:rFonts w:ascii="Times New Roman" w:hAnsi="Times New Roman"/>
          <w:bCs/>
          <w:lang w:eastAsia="hr-HR"/>
        </w:rPr>
      </w:pPr>
    </w:p>
    <w:p w14:paraId="7D3304B2" w14:textId="77777777" w:rsidR="00AF1895" w:rsidRPr="00235530" w:rsidRDefault="00911414" w:rsidP="00754BA6">
      <w:pPr>
        <w:spacing w:after="0" w:line="240" w:lineRule="auto"/>
        <w:jc w:val="both"/>
        <w:rPr>
          <w:rFonts w:ascii="Times New Roman" w:hAnsi="Times New Roman"/>
          <w:bCs/>
          <w:lang w:eastAsia="hr-HR"/>
        </w:rPr>
      </w:pPr>
      <w:r w:rsidRPr="00235530">
        <w:rPr>
          <w:rFonts w:ascii="Times New Roman" w:hAnsi="Times New Roman"/>
          <w:bCs/>
          <w:lang w:eastAsia="hr-HR"/>
        </w:rPr>
        <w:t xml:space="preserve">Operativno funkcioniranje Registra koncesija započelo je u lipnju 2006. godine. U Registru koncesija evidentirani su svi ugovori od dana ustroja Registra koncesija, bez obzira što je nekima u međuvremenu istekao rok trajanja (takve ugovore nazivamo </w:t>
      </w:r>
      <w:r w:rsidRPr="00235530">
        <w:rPr>
          <w:rFonts w:ascii="Times New Roman" w:hAnsi="Times New Roman"/>
          <w:bCs/>
          <w:i/>
          <w:lang w:eastAsia="hr-HR"/>
        </w:rPr>
        <w:t>neaktivnima</w:t>
      </w:r>
      <w:r w:rsidRPr="00235530">
        <w:rPr>
          <w:rFonts w:ascii="Times New Roman" w:hAnsi="Times New Roman"/>
          <w:bCs/>
          <w:lang w:eastAsia="hr-HR"/>
        </w:rPr>
        <w:t>), a koji su u obuhvatu javnih podataka dostupni na  internetskoj stranici Ministarstva financija (</w:t>
      </w:r>
      <w:hyperlink r:id="rId8" w:history="1">
        <w:r w:rsidRPr="00235530">
          <w:rPr>
            <w:rStyle w:val="Hyperlink"/>
            <w:rFonts w:ascii="Times New Roman" w:hAnsi="Times New Roman"/>
            <w:bCs/>
            <w:lang w:eastAsia="hr-HR"/>
          </w:rPr>
          <w:t>www.mfin.hr</w:t>
        </w:r>
      </w:hyperlink>
      <w:r w:rsidRPr="00235530">
        <w:rPr>
          <w:rFonts w:ascii="Times New Roman" w:hAnsi="Times New Roman"/>
          <w:bCs/>
          <w:lang w:eastAsia="hr-HR"/>
        </w:rPr>
        <w:t>). Aktivni ugovori su ugovori o koncesiji kojima na dan uvida u Registar koncesija nije isteka</w:t>
      </w:r>
      <w:r w:rsidR="00B94CC9">
        <w:rPr>
          <w:rFonts w:ascii="Times New Roman" w:hAnsi="Times New Roman"/>
          <w:bCs/>
          <w:lang w:eastAsia="hr-HR"/>
        </w:rPr>
        <w:t>o</w:t>
      </w:r>
      <w:r w:rsidRPr="00235530">
        <w:rPr>
          <w:rFonts w:ascii="Times New Roman" w:hAnsi="Times New Roman"/>
          <w:bCs/>
          <w:lang w:eastAsia="hr-HR"/>
        </w:rPr>
        <w:t xml:space="preserve"> rok trajanja. </w:t>
      </w:r>
    </w:p>
    <w:p w14:paraId="7D3304B3" w14:textId="77777777" w:rsidR="00911414" w:rsidRPr="00235530" w:rsidRDefault="00911414" w:rsidP="00754BA6">
      <w:pPr>
        <w:spacing w:after="0" w:line="240" w:lineRule="auto"/>
        <w:jc w:val="both"/>
        <w:rPr>
          <w:rFonts w:ascii="Times New Roman" w:hAnsi="Times New Roman"/>
        </w:rPr>
      </w:pPr>
    </w:p>
    <w:p w14:paraId="7D3304B4" w14:textId="77777777" w:rsidR="00911414" w:rsidRPr="00E2412E" w:rsidRDefault="00911414" w:rsidP="00754BA6">
      <w:pPr>
        <w:spacing w:after="0" w:line="240" w:lineRule="auto"/>
        <w:jc w:val="both"/>
        <w:rPr>
          <w:rFonts w:ascii="Times New Roman" w:hAnsi="Times New Roman"/>
          <w:sz w:val="20"/>
          <w:szCs w:val="20"/>
        </w:rPr>
      </w:pPr>
      <w:r w:rsidRPr="00E2412E">
        <w:rPr>
          <w:rFonts w:ascii="Times New Roman" w:hAnsi="Times New Roman"/>
          <w:b/>
          <w:sz w:val="20"/>
          <w:szCs w:val="20"/>
        </w:rPr>
        <w:t>Tablica 1.</w:t>
      </w:r>
      <w:r w:rsidRPr="00E2412E">
        <w:rPr>
          <w:rFonts w:ascii="Times New Roman" w:hAnsi="Times New Roman"/>
          <w:sz w:val="20"/>
          <w:szCs w:val="20"/>
        </w:rPr>
        <w:t xml:space="preserve"> Prikaz broja ugovora o koncesiji u Registru koncesija</w:t>
      </w:r>
    </w:p>
    <w:p w14:paraId="7D3304B5" w14:textId="77777777" w:rsidR="00911414" w:rsidRPr="00E2412E" w:rsidRDefault="00E2412E" w:rsidP="00754BA6">
      <w:pPr>
        <w:spacing w:after="0" w:line="240" w:lineRule="auto"/>
        <w:jc w:val="both"/>
        <w:rPr>
          <w:rFonts w:ascii="Times New Roman" w:hAnsi="Times New Roman"/>
        </w:rPr>
      </w:pPr>
      <w:r w:rsidRPr="00E2412E">
        <w:rPr>
          <w:noProof/>
          <w:lang w:eastAsia="hr-HR"/>
        </w:rPr>
        <w:drawing>
          <wp:inline distT="0" distB="0" distL="0" distR="0" wp14:anchorId="7D3306D6" wp14:editId="7D3306D7">
            <wp:extent cx="5760720" cy="4443284"/>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443284"/>
                    </a:xfrm>
                    <a:prstGeom prst="rect">
                      <a:avLst/>
                    </a:prstGeom>
                    <a:noFill/>
                    <a:ln>
                      <a:noFill/>
                    </a:ln>
                  </pic:spPr>
                </pic:pic>
              </a:graphicData>
            </a:graphic>
          </wp:inline>
        </w:drawing>
      </w:r>
    </w:p>
    <w:p w14:paraId="7D3304B6" w14:textId="77777777" w:rsidR="00911414" w:rsidRPr="00E2412E" w:rsidRDefault="00911414" w:rsidP="00754BA6">
      <w:pPr>
        <w:spacing w:after="0" w:line="240" w:lineRule="auto"/>
        <w:jc w:val="both"/>
        <w:rPr>
          <w:rFonts w:ascii="Times New Roman" w:hAnsi="Times New Roman"/>
          <w:sz w:val="20"/>
          <w:szCs w:val="20"/>
        </w:rPr>
      </w:pPr>
      <w:r w:rsidRPr="00E2412E">
        <w:rPr>
          <w:rFonts w:ascii="Times New Roman" w:hAnsi="Times New Roman"/>
          <w:b/>
          <w:sz w:val="20"/>
          <w:szCs w:val="20"/>
        </w:rPr>
        <w:t>Izvor:</w:t>
      </w:r>
      <w:r w:rsidRPr="00E2412E">
        <w:rPr>
          <w:rFonts w:ascii="Times New Roman" w:hAnsi="Times New Roman"/>
          <w:sz w:val="20"/>
          <w:szCs w:val="20"/>
        </w:rPr>
        <w:t xml:space="preserve"> Ministarstvo financija, Registar koncesija</w:t>
      </w:r>
    </w:p>
    <w:p w14:paraId="7D3304B7" w14:textId="77777777" w:rsidR="00911414" w:rsidRPr="00E2412E" w:rsidRDefault="00911414" w:rsidP="00995044">
      <w:pPr>
        <w:spacing w:after="0" w:line="240" w:lineRule="auto"/>
        <w:jc w:val="both"/>
        <w:rPr>
          <w:rFonts w:ascii="Times New Roman" w:hAnsi="Times New Roman"/>
          <w:b/>
          <w:bCs/>
          <w:lang w:eastAsia="hr-HR"/>
        </w:rPr>
      </w:pPr>
    </w:p>
    <w:p w14:paraId="7D3304B8" w14:textId="77777777" w:rsidR="004B5ED5" w:rsidRPr="00E2412E" w:rsidRDefault="004B5ED5" w:rsidP="00995044">
      <w:pPr>
        <w:spacing w:after="0" w:line="240" w:lineRule="auto"/>
        <w:jc w:val="both"/>
        <w:rPr>
          <w:rFonts w:ascii="Times New Roman" w:hAnsi="Times New Roman"/>
          <w:bCs/>
          <w:lang w:eastAsia="hr-HR"/>
        </w:rPr>
      </w:pPr>
      <w:r w:rsidRPr="00E2412E">
        <w:rPr>
          <w:rFonts w:ascii="Times New Roman" w:hAnsi="Times New Roman"/>
          <w:bCs/>
          <w:lang w:eastAsia="hr-HR"/>
        </w:rPr>
        <w:t>Na dan 31.12.201</w:t>
      </w:r>
      <w:r w:rsidR="00E2412E">
        <w:rPr>
          <w:rFonts w:ascii="Times New Roman" w:hAnsi="Times New Roman"/>
          <w:bCs/>
          <w:lang w:eastAsia="hr-HR"/>
        </w:rPr>
        <w:t>9</w:t>
      </w:r>
      <w:r w:rsidRPr="00E2412E">
        <w:rPr>
          <w:rFonts w:ascii="Times New Roman" w:hAnsi="Times New Roman"/>
          <w:bCs/>
          <w:lang w:eastAsia="hr-HR"/>
        </w:rPr>
        <w:t xml:space="preserve">. </w:t>
      </w:r>
      <w:r w:rsidR="00E519CA" w:rsidRPr="00E2412E">
        <w:rPr>
          <w:rFonts w:ascii="Times New Roman" w:hAnsi="Times New Roman"/>
          <w:bCs/>
          <w:lang w:eastAsia="hr-HR"/>
        </w:rPr>
        <w:t xml:space="preserve">godine </w:t>
      </w:r>
      <w:r w:rsidRPr="00E2412E">
        <w:rPr>
          <w:rFonts w:ascii="Times New Roman" w:hAnsi="Times New Roman"/>
          <w:bCs/>
          <w:lang w:eastAsia="hr-HR"/>
        </w:rPr>
        <w:t xml:space="preserve">ukupno je bilo </w:t>
      </w:r>
      <w:r w:rsidR="00E2412E">
        <w:rPr>
          <w:rFonts w:ascii="Times New Roman" w:hAnsi="Times New Roman"/>
          <w:bCs/>
          <w:lang w:eastAsia="hr-HR"/>
        </w:rPr>
        <w:t>8.613</w:t>
      </w:r>
      <w:r w:rsidRPr="00E2412E">
        <w:rPr>
          <w:rFonts w:ascii="Times New Roman" w:hAnsi="Times New Roman"/>
          <w:bCs/>
          <w:lang w:eastAsia="hr-HR"/>
        </w:rPr>
        <w:t xml:space="preserve"> aktivna ugovora u Registru koncesija, što je </w:t>
      </w:r>
      <w:r w:rsidR="00E2412E">
        <w:rPr>
          <w:rFonts w:ascii="Times New Roman" w:hAnsi="Times New Roman"/>
          <w:bCs/>
          <w:lang w:eastAsia="hr-HR"/>
        </w:rPr>
        <w:t>465</w:t>
      </w:r>
      <w:r w:rsidRPr="00E2412E">
        <w:rPr>
          <w:rFonts w:ascii="Times New Roman" w:hAnsi="Times New Roman"/>
          <w:bCs/>
          <w:lang w:eastAsia="hr-HR"/>
        </w:rPr>
        <w:t xml:space="preserve"> ugovora </w:t>
      </w:r>
      <w:r w:rsidR="003640AA" w:rsidRPr="00E2412E">
        <w:rPr>
          <w:rFonts w:ascii="Times New Roman" w:hAnsi="Times New Roman"/>
          <w:bCs/>
          <w:lang w:eastAsia="hr-HR"/>
        </w:rPr>
        <w:t>manje</w:t>
      </w:r>
      <w:r w:rsidRPr="00E2412E">
        <w:rPr>
          <w:rFonts w:ascii="Times New Roman" w:hAnsi="Times New Roman"/>
          <w:bCs/>
          <w:lang w:eastAsia="hr-HR"/>
        </w:rPr>
        <w:t xml:space="preserve"> u odnosu na isti dan prethodne godine.</w:t>
      </w:r>
    </w:p>
    <w:p w14:paraId="7D3304B9" w14:textId="77777777" w:rsidR="004B5ED5" w:rsidRPr="00E2412E" w:rsidRDefault="004B5ED5" w:rsidP="00995044">
      <w:pPr>
        <w:spacing w:after="0" w:line="240" w:lineRule="auto"/>
        <w:jc w:val="both"/>
        <w:rPr>
          <w:rFonts w:ascii="Times New Roman" w:hAnsi="Times New Roman"/>
          <w:bCs/>
          <w:lang w:eastAsia="hr-HR"/>
        </w:rPr>
      </w:pPr>
    </w:p>
    <w:p w14:paraId="7D3304BA" w14:textId="77777777" w:rsidR="002A2215" w:rsidRPr="00235530" w:rsidRDefault="004B5ED5" w:rsidP="00995044">
      <w:pPr>
        <w:spacing w:after="0" w:line="240" w:lineRule="auto"/>
        <w:jc w:val="both"/>
        <w:rPr>
          <w:rFonts w:ascii="Times New Roman" w:hAnsi="Times New Roman"/>
          <w:b/>
          <w:bCs/>
          <w:lang w:eastAsia="hr-HR"/>
        </w:rPr>
      </w:pPr>
      <w:r w:rsidRPr="00E2412E">
        <w:rPr>
          <w:rFonts w:ascii="Times New Roman" w:hAnsi="Times New Roman"/>
          <w:bCs/>
          <w:lang w:eastAsia="hr-HR"/>
        </w:rPr>
        <w:t>Najveći broj ugovora odnosi se na ugovore za obavljanje zdravstvene djelatnosti (</w:t>
      </w:r>
      <w:r w:rsidR="00E2412E">
        <w:rPr>
          <w:rFonts w:ascii="Times New Roman" w:hAnsi="Times New Roman"/>
          <w:bCs/>
          <w:lang w:eastAsia="hr-HR"/>
        </w:rPr>
        <w:t>45,34</w:t>
      </w:r>
      <w:r w:rsidRPr="00E2412E">
        <w:rPr>
          <w:rFonts w:ascii="Times New Roman" w:hAnsi="Times New Roman"/>
          <w:bCs/>
          <w:lang w:eastAsia="hr-HR"/>
        </w:rPr>
        <w:t xml:space="preserve"> po</w:t>
      </w:r>
      <w:r w:rsidR="00CF5CE4" w:rsidRPr="00E2412E">
        <w:rPr>
          <w:rFonts w:ascii="Times New Roman" w:hAnsi="Times New Roman"/>
          <w:bCs/>
          <w:lang w:eastAsia="hr-HR"/>
        </w:rPr>
        <w:t xml:space="preserve">sto), te na područje rudarstva </w:t>
      </w:r>
      <w:r w:rsidRPr="00E2412E">
        <w:rPr>
          <w:rFonts w:ascii="Times New Roman" w:hAnsi="Times New Roman"/>
          <w:bCs/>
          <w:lang w:eastAsia="hr-HR"/>
        </w:rPr>
        <w:t>(</w:t>
      </w:r>
      <w:r w:rsidR="00764DB4" w:rsidRPr="00E2412E">
        <w:rPr>
          <w:rFonts w:ascii="Times New Roman" w:hAnsi="Times New Roman"/>
          <w:bCs/>
          <w:lang w:eastAsia="hr-HR"/>
        </w:rPr>
        <w:t>14,</w:t>
      </w:r>
      <w:r w:rsidR="00E2412E">
        <w:rPr>
          <w:rFonts w:ascii="Times New Roman" w:hAnsi="Times New Roman"/>
          <w:bCs/>
          <w:lang w:eastAsia="hr-HR"/>
        </w:rPr>
        <w:t>52</w:t>
      </w:r>
      <w:r w:rsidRPr="00E2412E">
        <w:rPr>
          <w:rFonts w:ascii="Times New Roman" w:hAnsi="Times New Roman"/>
          <w:bCs/>
          <w:lang w:eastAsia="hr-HR"/>
        </w:rPr>
        <w:t xml:space="preserve"> posto). </w:t>
      </w:r>
      <w:r w:rsidRPr="005B5103">
        <w:rPr>
          <w:rFonts w:ascii="Times New Roman" w:hAnsi="Times New Roman"/>
          <w:bCs/>
          <w:lang w:eastAsia="hr-HR"/>
        </w:rPr>
        <w:t xml:space="preserve">Kod rudarstva treba naglasiti kako koncesionar za jedno eksploatacijsko polje ima </w:t>
      </w:r>
      <w:r w:rsidR="00F57A23" w:rsidRPr="005B5103">
        <w:rPr>
          <w:rFonts w:ascii="Times New Roman" w:hAnsi="Times New Roman"/>
          <w:bCs/>
          <w:lang w:eastAsia="hr-HR"/>
        </w:rPr>
        <w:t xml:space="preserve">jedan </w:t>
      </w:r>
      <w:r w:rsidRPr="005B5103">
        <w:rPr>
          <w:rFonts w:ascii="Times New Roman" w:hAnsi="Times New Roman"/>
          <w:bCs/>
          <w:lang w:eastAsia="hr-HR"/>
        </w:rPr>
        <w:t>ugovor o koncesiji</w:t>
      </w:r>
      <w:r w:rsidR="005B5103">
        <w:rPr>
          <w:rFonts w:ascii="Times New Roman" w:hAnsi="Times New Roman"/>
          <w:bCs/>
          <w:lang w:eastAsia="hr-HR"/>
        </w:rPr>
        <w:t xml:space="preserve"> a</w:t>
      </w:r>
      <w:r w:rsidR="00F57A23" w:rsidRPr="005B5103">
        <w:rPr>
          <w:rFonts w:ascii="Times New Roman" w:hAnsi="Times New Roman"/>
          <w:bCs/>
          <w:lang w:eastAsia="hr-HR"/>
        </w:rPr>
        <w:t xml:space="preserve"> za koj</w:t>
      </w:r>
      <w:r w:rsidR="005B5103">
        <w:rPr>
          <w:rFonts w:ascii="Times New Roman" w:hAnsi="Times New Roman"/>
          <w:bCs/>
          <w:lang w:eastAsia="hr-HR"/>
        </w:rPr>
        <w:t>i</w:t>
      </w:r>
      <w:r w:rsidR="00F57A23" w:rsidRPr="005B5103">
        <w:rPr>
          <w:rFonts w:ascii="Times New Roman" w:hAnsi="Times New Roman"/>
          <w:bCs/>
          <w:lang w:eastAsia="hr-HR"/>
        </w:rPr>
        <w:t xml:space="preserve"> su otvorena dva ID broja ugovora</w:t>
      </w:r>
      <w:r w:rsidR="005B5103">
        <w:rPr>
          <w:rFonts w:ascii="Times New Roman" w:hAnsi="Times New Roman"/>
          <w:bCs/>
          <w:lang w:eastAsia="hr-HR"/>
        </w:rPr>
        <w:t>,</w:t>
      </w:r>
      <w:r w:rsidRPr="005B5103">
        <w:rPr>
          <w:rFonts w:ascii="Times New Roman" w:hAnsi="Times New Roman"/>
          <w:bCs/>
          <w:lang w:eastAsia="hr-HR"/>
        </w:rPr>
        <w:t xml:space="preserve"> jedan za plaćanje naknade za zauzetu površinu i drugi za </w:t>
      </w:r>
      <w:r w:rsidR="00E519CA" w:rsidRPr="005B5103">
        <w:rPr>
          <w:rFonts w:ascii="Times New Roman" w:hAnsi="Times New Roman"/>
          <w:bCs/>
          <w:lang w:eastAsia="hr-HR"/>
        </w:rPr>
        <w:t xml:space="preserve">plaćanje naknade za </w:t>
      </w:r>
      <w:r w:rsidRPr="005B5103">
        <w:rPr>
          <w:rFonts w:ascii="Times New Roman" w:hAnsi="Times New Roman"/>
          <w:bCs/>
          <w:lang w:eastAsia="hr-HR"/>
        </w:rPr>
        <w:t>e</w:t>
      </w:r>
      <w:r w:rsidR="00F57A23" w:rsidRPr="005B5103">
        <w:rPr>
          <w:rFonts w:ascii="Times New Roman" w:hAnsi="Times New Roman"/>
          <w:bCs/>
          <w:lang w:eastAsia="hr-HR"/>
        </w:rPr>
        <w:t>ksploataciju mineralne sirovine</w:t>
      </w:r>
      <w:r w:rsidR="005B5103">
        <w:rPr>
          <w:rFonts w:ascii="Times New Roman" w:hAnsi="Times New Roman"/>
          <w:bCs/>
          <w:lang w:eastAsia="hr-HR"/>
        </w:rPr>
        <w:t xml:space="preserve"> (radi različitih primatelja prihoda)</w:t>
      </w:r>
      <w:r w:rsidR="00F57A23" w:rsidRPr="005B5103">
        <w:rPr>
          <w:rFonts w:ascii="Times New Roman" w:hAnsi="Times New Roman"/>
          <w:bCs/>
          <w:lang w:eastAsia="hr-HR"/>
        </w:rPr>
        <w:t>, te se u Registru koncesija vode kao dva ugovora.</w:t>
      </w:r>
      <w:r w:rsidRPr="00E2412E">
        <w:rPr>
          <w:rFonts w:ascii="Times New Roman" w:hAnsi="Times New Roman"/>
          <w:bCs/>
          <w:lang w:eastAsia="hr-HR"/>
        </w:rPr>
        <w:t xml:space="preserve">  Ugovori o koncesiji za korištenje pomorskog dobra u ukupnom broju ugovora sudjeluju sa </w:t>
      </w:r>
      <w:r w:rsidR="00E2412E">
        <w:rPr>
          <w:rFonts w:ascii="Times New Roman" w:hAnsi="Times New Roman"/>
          <w:bCs/>
          <w:lang w:eastAsia="hr-HR"/>
        </w:rPr>
        <w:t>12,24</w:t>
      </w:r>
      <w:r w:rsidRPr="00E2412E">
        <w:rPr>
          <w:rFonts w:ascii="Times New Roman" w:hAnsi="Times New Roman"/>
          <w:bCs/>
          <w:lang w:eastAsia="hr-HR"/>
        </w:rPr>
        <w:t xml:space="preserve"> posto, ugovori o koncesiji za obavljanje komunalnog gospodarstvo (dimnjačari, pražnjenje septičkih jama) sudjeluju u ukupnom broju ugovora sa </w:t>
      </w:r>
      <w:r w:rsidR="003640AA" w:rsidRPr="00E2412E">
        <w:rPr>
          <w:rFonts w:ascii="Times New Roman" w:hAnsi="Times New Roman"/>
          <w:bCs/>
          <w:lang w:eastAsia="hr-HR"/>
        </w:rPr>
        <w:t>5,5</w:t>
      </w:r>
      <w:r w:rsidR="00E2412E">
        <w:rPr>
          <w:rFonts w:ascii="Times New Roman" w:hAnsi="Times New Roman"/>
          <w:bCs/>
          <w:lang w:eastAsia="hr-HR"/>
        </w:rPr>
        <w:t>8</w:t>
      </w:r>
      <w:r w:rsidRPr="00E2412E">
        <w:rPr>
          <w:rFonts w:ascii="Times New Roman" w:hAnsi="Times New Roman"/>
          <w:bCs/>
          <w:lang w:eastAsia="hr-HR"/>
        </w:rPr>
        <w:t xml:space="preserve"> posto, ugovori za korištenje voda sa </w:t>
      </w:r>
      <w:r w:rsidR="003640AA" w:rsidRPr="00E2412E">
        <w:rPr>
          <w:rFonts w:ascii="Times New Roman" w:hAnsi="Times New Roman"/>
          <w:bCs/>
          <w:lang w:eastAsia="hr-HR"/>
        </w:rPr>
        <w:t>4,</w:t>
      </w:r>
      <w:r w:rsidR="00E2412E">
        <w:rPr>
          <w:rFonts w:ascii="Times New Roman" w:hAnsi="Times New Roman"/>
          <w:bCs/>
          <w:lang w:eastAsia="hr-HR"/>
        </w:rPr>
        <w:t>53</w:t>
      </w:r>
      <w:r w:rsidR="00764DB4" w:rsidRPr="00E2412E">
        <w:rPr>
          <w:rFonts w:ascii="Times New Roman" w:hAnsi="Times New Roman"/>
          <w:bCs/>
          <w:lang w:eastAsia="hr-HR"/>
        </w:rPr>
        <w:t xml:space="preserve"> posto, a ugovori koje dodjeljuju lučke uprave sa </w:t>
      </w:r>
      <w:r w:rsidR="00E2412E">
        <w:rPr>
          <w:rFonts w:ascii="Times New Roman" w:hAnsi="Times New Roman"/>
          <w:bCs/>
          <w:lang w:eastAsia="hr-HR"/>
        </w:rPr>
        <w:t>11,30</w:t>
      </w:r>
      <w:r w:rsidR="00764DB4" w:rsidRPr="00E2412E">
        <w:rPr>
          <w:rFonts w:ascii="Times New Roman" w:hAnsi="Times New Roman"/>
          <w:bCs/>
          <w:lang w:eastAsia="hr-HR"/>
        </w:rPr>
        <w:t xml:space="preserve"> posto.</w:t>
      </w:r>
      <w:r w:rsidR="00614A59" w:rsidRPr="00235530">
        <w:rPr>
          <w:rFonts w:ascii="Times New Roman" w:hAnsi="Times New Roman"/>
          <w:bCs/>
          <w:lang w:eastAsia="hr-HR"/>
        </w:rPr>
        <w:t xml:space="preserve"> </w:t>
      </w:r>
    </w:p>
    <w:p w14:paraId="7D3304BB" w14:textId="77777777" w:rsidR="002A2215" w:rsidRPr="00235530" w:rsidRDefault="002A2215" w:rsidP="00995044">
      <w:pPr>
        <w:spacing w:after="0" w:line="240" w:lineRule="auto"/>
        <w:jc w:val="both"/>
        <w:rPr>
          <w:rFonts w:ascii="Times New Roman" w:hAnsi="Times New Roman"/>
          <w:b/>
          <w:bCs/>
          <w:lang w:eastAsia="hr-HR"/>
        </w:rPr>
      </w:pPr>
    </w:p>
    <w:p w14:paraId="7D3304BC" w14:textId="77777777" w:rsidR="00911414" w:rsidRPr="00235530" w:rsidRDefault="00911414" w:rsidP="00995044">
      <w:pPr>
        <w:spacing w:after="0" w:line="240" w:lineRule="auto"/>
        <w:jc w:val="both"/>
        <w:rPr>
          <w:rFonts w:ascii="Times New Roman" w:hAnsi="Times New Roman"/>
          <w:b/>
          <w:bCs/>
          <w:lang w:eastAsia="hr-HR"/>
        </w:rPr>
      </w:pPr>
      <w:r w:rsidRPr="00235530">
        <w:rPr>
          <w:rFonts w:ascii="Times New Roman" w:hAnsi="Times New Roman"/>
          <w:b/>
          <w:bCs/>
          <w:lang w:eastAsia="hr-HR"/>
        </w:rPr>
        <w:t>2.1. Funkcioniranje, ciljevi i sastavnice Registra koncesija</w:t>
      </w:r>
    </w:p>
    <w:p w14:paraId="7D3304BD" w14:textId="77777777" w:rsidR="00911414" w:rsidRPr="00235530" w:rsidRDefault="00911414" w:rsidP="00995044">
      <w:pPr>
        <w:spacing w:after="0" w:line="240" w:lineRule="auto"/>
        <w:jc w:val="both"/>
        <w:rPr>
          <w:rFonts w:ascii="Times New Roman" w:hAnsi="Times New Roman"/>
          <w:b/>
          <w:bCs/>
          <w:lang w:eastAsia="hr-HR"/>
        </w:rPr>
      </w:pPr>
    </w:p>
    <w:p w14:paraId="7D3304BE" w14:textId="77777777" w:rsidR="00911414" w:rsidRPr="00235530" w:rsidRDefault="00911414" w:rsidP="00995044">
      <w:pPr>
        <w:spacing w:after="0" w:line="240" w:lineRule="auto"/>
        <w:jc w:val="both"/>
        <w:rPr>
          <w:rFonts w:ascii="Times New Roman" w:hAnsi="Times New Roman"/>
          <w:bCs/>
          <w:iCs/>
          <w:lang w:eastAsia="hr-HR"/>
        </w:rPr>
      </w:pPr>
      <w:r w:rsidRPr="00235530">
        <w:rPr>
          <w:rFonts w:ascii="Times New Roman" w:hAnsi="Times New Roman"/>
          <w:bCs/>
          <w:iCs/>
          <w:lang w:eastAsia="hr-HR"/>
        </w:rPr>
        <w:t>Osnovna funkcija Registra koncesija usmjerena je ka stvaranju uvjeta stalnog nadzora, praćenjem naplate i provođenjem kontrole nad koncesionarima, kako od strane Ministarstva financija, tako i svakog pojedinog davatelja, sukladno zakonskom okviru određenom Zakonom o koncesijama i posebnim/sektorskim zakonima.</w:t>
      </w:r>
    </w:p>
    <w:p w14:paraId="7D3304BF" w14:textId="77777777" w:rsidR="00911414" w:rsidRPr="00235530" w:rsidRDefault="00911414" w:rsidP="00995044">
      <w:pPr>
        <w:spacing w:after="0" w:line="240" w:lineRule="auto"/>
        <w:jc w:val="both"/>
        <w:rPr>
          <w:rFonts w:ascii="Times New Roman" w:hAnsi="Times New Roman"/>
          <w:b/>
          <w:bCs/>
          <w:lang w:eastAsia="hr-HR"/>
        </w:rPr>
      </w:pPr>
    </w:p>
    <w:p w14:paraId="7D3304C0" w14:textId="77777777" w:rsidR="00911414" w:rsidRPr="00235530" w:rsidRDefault="00911414" w:rsidP="00995044">
      <w:pPr>
        <w:spacing w:after="0" w:line="240" w:lineRule="auto"/>
        <w:jc w:val="both"/>
        <w:rPr>
          <w:rFonts w:ascii="Times New Roman" w:hAnsi="Times New Roman"/>
          <w:bCs/>
          <w:lang w:eastAsia="hr-HR"/>
        </w:rPr>
      </w:pPr>
      <w:r w:rsidRPr="00235530">
        <w:rPr>
          <w:rFonts w:ascii="Times New Roman" w:hAnsi="Times New Roman"/>
          <w:bCs/>
          <w:lang w:eastAsia="hr-HR"/>
        </w:rPr>
        <w:lastRenderedPageBreak/>
        <w:t xml:space="preserve">Rad </w:t>
      </w:r>
      <w:r w:rsidR="001542C0" w:rsidRPr="00235530">
        <w:rPr>
          <w:rFonts w:ascii="Times New Roman" w:hAnsi="Times New Roman"/>
          <w:bCs/>
          <w:lang w:eastAsia="hr-HR"/>
        </w:rPr>
        <w:t xml:space="preserve">i postupanja </w:t>
      </w:r>
      <w:r w:rsidRPr="00235530">
        <w:rPr>
          <w:rFonts w:ascii="Times New Roman" w:hAnsi="Times New Roman"/>
          <w:bCs/>
          <w:lang w:eastAsia="hr-HR"/>
        </w:rPr>
        <w:t xml:space="preserve">u okviru Registra koncesija </w:t>
      </w:r>
      <w:r w:rsidR="0012293E" w:rsidRPr="00235530">
        <w:rPr>
          <w:rFonts w:ascii="Times New Roman" w:hAnsi="Times New Roman"/>
          <w:bCs/>
          <w:lang w:eastAsia="hr-HR"/>
        </w:rPr>
        <w:t>tijekom 201</w:t>
      </w:r>
      <w:r w:rsidR="0040127D">
        <w:rPr>
          <w:rFonts w:ascii="Times New Roman" w:hAnsi="Times New Roman"/>
          <w:bCs/>
          <w:lang w:eastAsia="hr-HR"/>
        </w:rPr>
        <w:t>9</w:t>
      </w:r>
      <w:r w:rsidR="0012293E" w:rsidRPr="00235530">
        <w:rPr>
          <w:rFonts w:ascii="Times New Roman" w:hAnsi="Times New Roman"/>
          <w:bCs/>
          <w:lang w:eastAsia="hr-HR"/>
        </w:rPr>
        <w:t xml:space="preserve">. godine bilo je </w:t>
      </w:r>
      <w:r w:rsidR="001542C0" w:rsidRPr="00235530">
        <w:rPr>
          <w:rFonts w:ascii="Times New Roman" w:hAnsi="Times New Roman"/>
          <w:bCs/>
          <w:lang w:eastAsia="hr-HR"/>
        </w:rPr>
        <w:t>uređeno odredbama</w:t>
      </w:r>
      <w:r w:rsidRPr="00235530">
        <w:rPr>
          <w:rFonts w:ascii="Times New Roman" w:hAnsi="Times New Roman"/>
          <w:bCs/>
          <w:lang w:eastAsia="hr-HR"/>
        </w:rPr>
        <w:t xml:space="preserve"> Pravilnik</w:t>
      </w:r>
      <w:r w:rsidR="001542C0" w:rsidRPr="00235530">
        <w:rPr>
          <w:rFonts w:ascii="Times New Roman" w:hAnsi="Times New Roman"/>
          <w:bCs/>
          <w:lang w:eastAsia="hr-HR"/>
        </w:rPr>
        <w:t>a</w:t>
      </w:r>
      <w:r w:rsidRPr="00235530">
        <w:rPr>
          <w:rFonts w:ascii="Times New Roman" w:hAnsi="Times New Roman"/>
          <w:bCs/>
          <w:lang w:eastAsia="hr-HR"/>
        </w:rPr>
        <w:t xml:space="preserve"> o Registru koncesija (</w:t>
      </w:r>
      <w:r w:rsidR="00307002">
        <w:rPr>
          <w:rFonts w:ascii="Times New Roman" w:hAnsi="Times New Roman"/>
          <w:bCs/>
          <w:lang w:eastAsia="hr-HR"/>
        </w:rPr>
        <w:t>Narodne novine, broj</w:t>
      </w:r>
      <w:r w:rsidRPr="00235530">
        <w:rPr>
          <w:rFonts w:ascii="Times New Roman" w:hAnsi="Times New Roman"/>
          <w:bCs/>
          <w:lang w:eastAsia="hr-HR"/>
        </w:rPr>
        <w:t xml:space="preserve"> </w:t>
      </w:r>
      <w:r w:rsidR="003640AA">
        <w:rPr>
          <w:rFonts w:ascii="Times New Roman" w:hAnsi="Times New Roman"/>
          <w:bCs/>
          <w:lang w:eastAsia="hr-HR"/>
        </w:rPr>
        <w:t>1/18</w:t>
      </w:r>
      <w:r w:rsidR="0012293E" w:rsidRPr="00235530">
        <w:rPr>
          <w:rFonts w:ascii="Times New Roman" w:hAnsi="Times New Roman"/>
          <w:bCs/>
          <w:lang w:eastAsia="hr-HR"/>
        </w:rPr>
        <w:t xml:space="preserve">), </w:t>
      </w:r>
      <w:r w:rsidRPr="00235530">
        <w:rPr>
          <w:rFonts w:ascii="Times New Roman" w:hAnsi="Times New Roman"/>
          <w:bCs/>
          <w:lang w:eastAsia="hr-HR"/>
        </w:rPr>
        <w:t>(</w:t>
      </w:r>
      <w:r w:rsidR="00F275FD" w:rsidRPr="00235530">
        <w:rPr>
          <w:rFonts w:ascii="Times New Roman" w:hAnsi="Times New Roman"/>
          <w:bCs/>
          <w:lang w:eastAsia="hr-HR"/>
        </w:rPr>
        <w:t xml:space="preserve">dalje u tekstu: </w:t>
      </w:r>
      <w:r w:rsidR="00E519CA">
        <w:rPr>
          <w:rFonts w:ascii="Times New Roman" w:hAnsi="Times New Roman"/>
          <w:bCs/>
          <w:lang w:eastAsia="hr-HR"/>
        </w:rPr>
        <w:t xml:space="preserve">Pravilnik), koji je bio u primjeni </w:t>
      </w:r>
      <w:r w:rsidR="009B083A">
        <w:rPr>
          <w:rFonts w:ascii="Times New Roman" w:hAnsi="Times New Roman"/>
          <w:bCs/>
          <w:lang w:eastAsia="hr-HR"/>
        </w:rPr>
        <w:t>tijekom cijele</w:t>
      </w:r>
      <w:r w:rsidR="00E519CA">
        <w:rPr>
          <w:rFonts w:ascii="Times New Roman" w:hAnsi="Times New Roman"/>
          <w:bCs/>
          <w:lang w:eastAsia="hr-HR"/>
        </w:rPr>
        <w:t xml:space="preserve"> 201</w:t>
      </w:r>
      <w:r w:rsidR="003640AA">
        <w:rPr>
          <w:rFonts w:ascii="Times New Roman" w:hAnsi="Times New Roman"/>
          <w:bCs/>
          <w:lang w:eastAsia="hr-HR"/>
        </w:rPr>
        <w:t>8</w:t>
      </w:r>
      <w:r w:rsidR="00E519CA">
        <w:rPr>
          <w:rFonts w:ascii="Times New Roman" w:hAnsi="Times New Roman"/>
          <w:bCs/>
          <w:lang w:eastAsia="hr-HR"/>
        </w:rPr>
        <w:t>. godin</w:t>
      </w:r>
      <w:r w:rsidR="009B083A">
        <w:rPr>
          <w:rFonts w:ascii="Times New Roman" w:hAnsi="Times New Roman"/>
          <w:bCs/>
          <w:lang w:eastAsia="hr-HR"/>
        </w:rPr>
        <w:t>e</w:t>
      </w:r>
      <w:r w:rsidR="00E519CA">
        <w:rPr>
          <w:rFonts w:ascii="Times New Roman" w:hAnsi="Times New Roman"/>
          <w:bCs/>
          <w:lang w:eastAsia="hr-HR"/>
        </w:rPr>
        <w:t>.</w:t>
      </w:r>
    </w:p>
    <w:p w14:paraId="7D3304C1" w14:textId="77777777" w:rsidR="003640AA" w:rsidRPr="00F8442E" w:rsidRDefault="003640AA" w:rsidP="003640AA">
      <w:pPr>
        <w:autoSpaceDE w:val="0"/>
        <w:autoSpaceDN w:val="0"/>
        <w:adjustRightInd w:val="0"/>
        <w:spacing w:after="0" w:line="240" w:lineRule="auto"/>
        <w:jc w:val="both"/>
        <w:rPr>
          <w:rFonts w:ascii="Times New Roman" w:eastAsia="Times New Roman" w:hAnsi="Times New Roman"/>
          <w:lang w:eastAsia="hr-HR"/>
        </w:rPr>
      </w:pPr>
    </w:p>
    <w:p w14:paraId="7D3304C2" w14:textId="77777777" w:rsidR="003640AA" w:rsidRPr="000A21E2" w:rsidRDefault="003640AA" w:rsidP="003640AA">
      <w:pPr>
        <w:spacing w:after="0" w:line="240" w:lineRule="auto"/>
        <w:jc w:val="both"/>
        <w:rPr>
          <w:rFonts w:ascii="Times New Roman" w:eastAsia="Times New Roman" w:hAnsi="Times New Roman"/>
          <w:lang w:eastAsia="hr-HR"/>
        </w:rPr>
      </w:pPr>
      <w:r w:rsidRPr="000A21E2">
        <w:rPr>
          <w:rFonts w:ascii="Times New Roman" w:eastAsia="Times New Roman" w:hAnsi="Times New Roman"/>
          <w:lang w:eastAsia="hr-HR"/>
        </w:rPr>
        <w:t>Zakonom o koncesijama propisana je obveza da su davatelji koncesija dužni u roku od 6 mjeseci od stupanja na snagu Zakona, u potpunosti preuzeti unos i ažuriranje podataka u web-aplikaciji Registra koncesija.</w:t>
      </w:r>
      <w:r w:rsidR="008A4A64" w:rsidRPr="000A21E2">
        <w:rPr>
          <w:rFonts w:ascii="Times New Roman" w:eastAsia="Times New Roman" w:hAnsi="Times New Roman"/>
          <w:lang w:eastAsia="hr-HR"/>
        </w:rPr>
        <w:t xml:space="preserve"> Tako su davatelji koncesija od siječnja 2018. godine u obvezi sami unositi podatke u Registar koncesija.</w:t>
      </w:r>
    </w:p>
    <w:p w14:paraId="7D3304C3" w14:textId="77777777" w:rsidR="003640AA" w:rsidRPr="00E519CA" w:rsidRDefault="003640AA" w:rsidP="003640AA">
      <w:pPr>
        <w:spacing w:after="0" w:line="240" w:lineRule="auto"/>
        <w:jc w:val="both"/>
        <w:rPr>
          <w:rFonts w:ascii="Times New Roman" w:hAnsi="Times New Roman"/>
          <w:lang w:eastAsia="hr-HR"/>
        </w:rPr>
      </w:pPr>
    </w:p>
    <w:p w14:paraId="7D3304C4" w14:textId="77777777" w:rsidR="003640AA" w:rsidRPr="00E519CA" w:rsidRDefault="003640AA" w:rsidP="003640AA">
      <w:pPr>
        <w:spacing w:after="0" w:line="240" w:lineRule="auto"/>
        <w:jc w:val="both"/>
        <w:rPr>
          <w:rFonts w:ascii="Times New Roman" w:eastAsia="Times New Roman" w:hAnsi="Times New Roman"/>
          <w:lang w:eastAsia="hr-HR"/>
        </w:rPr>
      </w:pPr>
      <w:r w:rsidRPr="00E519CA">
        <w:rPr>
          <w:rFonts w:ascii="Times New Roman" w:eastAsia="Times New Roman" w:hAnsi="Times New Roman"/>
          <w:lang w:eastAsia="hr-HR"/>
        </w:rPr>
        <w:t>Uključivanje davatelja koncesija</w:t>
      </w:r>
      <w:r>
        <w:rPr>
          <w:rFonts w:ascii="Times New Roman" w:eastAsia="Times New Roman" w:hAnsi="Times New Roman"/>
          <w:lang w:eastAsia="hr-HR"/>
        </w:rPr>
        <w:t xml:space="preserve">, </w:t>
      </w:r>
      <w:r w:rsidRPr="00E519CA">
        <w:rPr>
          <w:rFonts w:ascii="Times New Roman" w:eastAsia="Times New Roman" w:hAnsi="Times New Roman"/>
          <w:lang w:eastAsia="hr-HR"/>
        </w:rPr>
        <w:t xml:space="preserve">u proces unosa i ažuriranja podataka u aplikaciji </w:t>
      </w:r>
      <w:r>
        <w:rPr>
          <w:rFonts w:ascii="Times New Roman" w:eastAsia="Times New Roman" w:hAnsi="Times New Roman"/>
          <w:lang w:eastAsia="hr-HR"/>
        </w:rPr>
        <w:t>Registra koncesija</w:t>
      </w:r>
      <w:r w:rsidRPr="00E519CA">
        <w:rPr>
          <w:rFonts w:ascii="Times New Roman" w:eastAsia="Times New Roman" w:hAnsi="Times New Roman"/>
          <w:lang w:eastAsia="hr-HR"/>
        </w:rPr>
        <w:t xml:space="preserve"> </w:t>
      </w:r>
      <w:r w:rsidR="008A4A64">
        <w:rPr>
          <w:rFonts w:ascii="Times New Roman" w:eastAsia="Times New Roman" w:hAnsi="Times New Roman"/>
          <w:lang w:eastAsia="hr-HR"/>
        </w:rPr>
        <w:t>dovelo je do</w:t>
      </w:r>
      <w:r w:rsidRPr="00E519CA">
        <w:rPr>
          <w:rFonts w:ascii="Times New Roman" w:eastAsia="Times New Roman" w:hAnsi="Times New Roman"/>
          <w:lang w:eastAsia="hr-HR"/>
        </w:rPr>
        <w:t xml:space="preserve"> učinkovitijeg i efikasnijeg sustava prikupljanja i evidencije podataka u </w:t>
      </w:r>
      <w:r>
        <w:rPr>
          <w:rFonts w:ascii="Times New Roman" w:eastAsia="Times New Roman" w:hAnsi="Times New Roman"/>
          <w:lang w:eastAsia="hr-HR"/>
        </w:rPr>
        <w:t>Registar koncesija</w:t>
      </w:r>
      <w:r w:rsidRPr="00E519CA">
        <w:rPr>
          <w:rFonts w:ascii="Times New Roman" w:eastAsia="Times New Roman" w:hAnsi="Times New Roman"/>
          <w:lang w:eastAsia="hr-HR"/>
        </w:rPr>
        <w:t xml:space="preserve">, jer </w:t>
      </w:r>
      <w:r w:rsidR="008A4A64">
        <w:rPr>
          <w:rFonts w:ascii="Times New Roman" w:eastAsia="Times New Roman" w:hAnsi="Times New Roman"/>
          <w:lang w:eastAsia="hr-HR"/>
        </w:rPr>
        <w:t>su</w:t>
      </w:r>
      <w:r w:rsidRPr="00E519CA">
        <w:rPr>
          <w:rFonts w:ascii="Times New Roman" w:eastAsia="Times New Roman" w:hAnsi="Times New Roman"/>
          <w:lang w:eastAsia="hr-HR"/>
        </w:rPr>
        <w:t xml:space="preserve"> isti direktno unešeni u </w:t>
      </w:r>
      <w:r>
        <w:rPr>
          <w:rFonts w:ascii="Times New Roman" w:eastAsia="Times New Roman" w:hAnsi="Times New Roman"/>
          <w:lang w:eastAsia="hr-HR"/>
        </w:rPr>
        <w:t>Registar koncesija</w:t>
      </w:r>
      <w:r w:rsidRPr="00E519CA">
        <w:rPr>
          <w:rFonts w:ascii="Times New Roman" w:eastAsia="Times New Roman" w:hAnsi="Times New Roman"/>
          <w:lang w:eastAsia="hr-HR"/>
        </w:rPr>
        <w:t>. Koristi koje se očekuju od primjene ovakvog unosa podataka prvenstveno se ogledaju u brzini cjelokupnog procesa evidentiranja podataka, a samim time i efikasnijem praćenju ispunjenja obveza koncesionara vezano za plaćanje naknade za koncesiju. To će omogućiti kako davatelju koncesija tako i Ministarstvu financija jasnije i efikasnije praćenje i nadzor koncesionara.</w:t>
      </w:r>
    </w:p>
    <w:p w14:paraId="7D3304C5" w14:textId="77777777" w:rsidR="003640AA" w:rsidRDefault="003640AA" w:rsidP="00995044">
      <w:pPr>
        <w:spacing w:after="0" w:line="240" w:lineRule="auto"/>
        <w:jc w:val="both"/>
        <w:rPr>
          <w:rFonts w:ascii="Times New Roman" w:hAnsi="Times New Roman"/>
          <w:bCs/>
          <w:lang w:eastAsia="hr-HR"/>
        </w:rPr>
      </w:pPr>
    </w:p>
    <w:p w14:paraId="7D3304C6" w14:textId="77777777" w:rsidR="000A21E2" w:rsidRPr="00575C1A" w:rsidRDefault="00911414" w:rsidP="00562078">
      <w:pPr>
        <w:spacing w:after="0" w:line="240" w:lineRule="auto"/>
        <w:jc w:val="both"/>
        <w:rPr>
          <w:rFonts w:ascii="Times New Roman" w:hAnsi="Times New Roman"/>
          <w:bCs/>
          <w:lang w:eastAsia="hr-HR"/>
        </w:rPr>
      </w:pPr>
      <w:r w:rsidRPr="00235530">
        <w:rPr>
          <w:rFonts w:ascii="Times New Roman" w:hAnsi="Times New Roman"/>
          <w:bCs/>
          <w:lang w:eastAsia="hr-HR"/>
        </w:rPr>
        <w:t>Svaki davatelj koncesije ima puni uvid u plaćanja svakog pojedinog koncesionara prema kojem, ovisno o potrebi, provodi različite vrste nadzora, inspekcij</w:t>
      </w:r>
      <w:r w:rsidR="008A4A64">
        <w:rPr>
          <w:rFonts w:ascii="Times New Roman" w:hAnsi="Times New Roman"/>
          <w:bCs/>
          <w:lang w:eastAsia="hr-HR"/>
        </w:rPr>
        <w:t>skih</w:t>
      </w:r>
      <w:r w:rsidRPr="00235530">
        <w:rPr>
          <w:rFonts w:ascii="Times New Roman" w:hAnsi="Times New Roman"/>
          <w:bCs/>
          <w:lang w:eastAsia="hr-HR"/>
        </w:rPr>
        <w:t xml:space="preserve"> ili drugih mjera predviđenih Zakonom o </w:t>
      </w:r>
      <w:r w:rsidR="003D082A">
        <w:rPr>
          <w:rFonts w:ascii="Times New Roman" w:hAnsi="Times New Roman"/>
          <w:bCs/>
          <w:lang w:eastAsia="hr-HR"/>
        </w:rPr>
        <w:t>koncesijama i posebnim zakonima.</w:t>
      </w:r>
    </w:p>
    <w:p w14:paraId="7D3304C7" w14:textId="77777777" w:rsidR="000A21E2" w:rsidRDefault="000A21E2" w:rsidP="00562078">
      <w:pPr>
        <w:spacing w:after="0" w:line="240" w:lineRule="auto"/>
        <w:jc w:val="both"/>
        <w:rPr>
          <w:rFonts w:ascii="Times New Roman" w:hAnsi="Times New Roman"/>
          <w:b/>
          <w:bCs/>
          <w:lang w:eastAsia="hr-HR"/>
        </w:rPr>
      </w:pPr>
    </w:p>
    <w:p w14:paraId="7D3304C8" w14:textId="77777777" w:rsidR="00911414" w:rsidRPr="00235530" w:rsidRDefault="00911414" w:rsidP="00562078">
      <w:pPr>
        <w:spacing w:after="0" w:line="240" w:lineRule="auto"/>
        <w:jc w:val="both"/>
        <w:rPr>
          <w:rFonts w:ascii="Times New Roman" w:hAnsi="Times New Roman"/>
          <w:b/>
          <w:bCs/>
          <w:lang w:eastAsia="hr-HR"/>
        </w:rPr>
      </w:pPr>
      <w:r w:rsidRPr="00235530">
        <w:rPr>
          <w:rFonts w:ascii="Times New Roman" w:hAnsi="Times New Roman"/>
          <w:b/>
          <w:bCs/>
          <w:lang w:eastAsia="hr-HR"/>
        </w:rPr>
        <w:t>2.2. Registar koncesija i utvrđivanje naknade za koncesiju</w:t>
      </w:r>
    </w:p>
    <w:p w14:paraId="7D3304C9" w14:textId="77777777" w:rsidR="00911414" w:rsidRPr="00235530" w:rsidRDefault="00911414" w:rsidP="00562078">
      <w:pPr>
        <w:spacing w:after="0" w:line="240" w:lineRule="auto"/>
        <w:jc w:val="both"/>
        <w:rPr>
          <w:rFonts w:ascii="Times New Roman" w:hAnsi="Times New Roman"/>
          <w:b/>
          <w:bCs/>
          <w:lang w:eastAsia="hr-HR"/>
        </w:rPr>
      </w:pPr>
    </w:p>
    <w:p w14:paraId="7D3304CA" w14:textId="77777777" w:rsidR="00911414" w:rsidRPr="00235530" w:rsidRDefault="00911414" w:rsidP="00562078">
      <w:pPr>
        <w:spacing w:after="0" w:line="240" w:lineRule="auto"/>
        <w:jc w:val="both"/>
        <w:rPr>
          <w:rFonts w:ascii="Times New Roman" w:hAnsi="Times New Roman"/>
          <w:bCs/>
          <w:lang w:eastAsia="hr-HR"/>
        </w:rPr>
      </w:pPr>
      <w:r w:rsidRPr="00235530">
        <w:rPr>
          <w:rFonts w:ascii="Times New Roman" w:hAnsi="Times New Roman"/>
          <w:bCs/>
          <w:lang w:eastAsia="hr-HR"/>
        </w:rPr>
        <w:t>Naknada za koncesiju može biti ugovorena kao stalan jednak iznos (fiksni) i/ili kao varijabilni iznos:</w:t>
      </w:r>
    </w:p>
    <w:p w14:paraId="7D3304CB" w14:textId="77777777" w:rsidR="00911414" w:rsidRPr="00235530" w:rsidRDefault="00911414" w:rsidP="00562078">
      <w:pPr>
        <w:spacing w:after="0" w:line="240" w:lineRule="auto"/>
        <w:jc w:val="both"/>
        <w:rPr>
          <w:rFonts w:ascii="Times New Roman" w:hAnsi="Times New Roman"/>
          <w:bCs/>
          <w:lang w:eastAsia="hr-HR"/>
        </w:rPr>
      </w:pPr>
    </w:p>
    <w:p w14:paraId="7D3304CC" w14:textId="77777777" w:rsidR="00911414" w:rsidRPr="00235530" w:rsidRDefault="00911414" w:rsidP="00FC658F">
      <w:pPr>
        <w:pStyle w:val="ListParagraph"/>
        <w:numPr>
          <w:ilvl w:val="0"/>
          <w:numId w:val="3"/>
        </w:numPr>
        <w:spacing w:after="0" w:line="240" w:lineRule="auto"/>
        <w:jc w:val="both"/>
        <w:rPr>
          <w:rFonts w:ascii="Times New Roman" w:hAnsi="Times New Roman"/>
          <w:bCs/>
          <w:lang w:eastAsia="hr-HR"/>
        </w:rPr>
      </w:pPr>
      <w:r w:rsidRPr="00235530">
        <w:rPr>
          <w:rFonts w:ascii="Times New Roman" w:hAnsi="Times New Roman"/>
          <w:bCs/>
          <w:lang w:eastAsia="hr-HR"/>
        </w:rPr>
        <w:t xml:space="preserve">Ukoliko je naknada ugovorena u stalnom jednakom iznosu, davatelj koncesije je dužan istu prijaviti za cijelo vrijeme trajanja ugovora. </w:t>
      </w:r>
    </w:p>
    <w:p w14:paraId="7D3304CD" w14:textId="77777777" w:rsidR="00875E8A" w:rsidRPr="00235530" w:rsidRDefault="00911414" w:rsidP="00FC658F">
      <w:pPr>
        <w:pStyle w:val="ListParagraph"/>
        <w:numPr>
          <w:ilvl w:val="0"/>
          <w:numId w:val="3"/>
        </w:numPr>
        <w:spacing w:after="0" w:line="240" w:lineRule="auto"/>
        <w:jc w:val="both"/>
        <w:rPr>
          <w:rFonts w:ascii="Times New Roman" w:hAnsi="Times New Roman"/>
          <w:bCs/>
          <w:lang w:eastAsia="hr-HR"/>
        </w:rPr>
      </w:pPr>
      <w:r w:rsidRPr="00235530">
        <w:rPr>
          <w:rFonts w:ascii="Times New Roman" w:hAnsi="Times New Roman"/>
          <w:lang w:eastAsia="hr-HR"/>
        </w:rPr>
        <w:t xml:space="preserve">Ukoliko je naknada utvrđena kao varijabilni iznos, osnova za utvrđivanje naknade za koncesiju jest prijava za upis naknade za koncesiju (Obrazac UPK), te se promjene evidentiraju u RK–a čime se u osnovi prate uplate pojedinih koncesionara i obračunavaju zatezne kamate, odnosno ista služi za druge radnje koje su </w:t>
      </w:r>
      <w:r w:rsidR="00C316C7" w:rsidRPr="00235530">
        <w:rPr>
          <w:rFonts w:ascii="Times New Roman" w:hAnsi="Times New Roman"/>
          <w:lang w:eastAsia="hr-HR"/>
        </w:rPr>
        <w:t>uređene</w:t>
      </w:r>
      <w:r w:rsidRPr="00235530">
        <w:rPr>
          <w:rFonts w:ascii="Times New Roman" w:hAnsi="Times New Roman"/>
          <w:lang w:eastAsia="hr-HR"/>
        </w:rPr>
        <w:t xml:space="preserve"> zakonskim okvirom u sustavu koncesija. </w:t>
      </w:r>
    </w:p>
    <w:p w14:paraId="7D3304CE" w14:textId="77777777" w:rsidR="00764DB4" w:rsidRPr="00235530" w:rsidRDefault="00764DB4" w:rsidP="00875E8A">
      <w:pPr>
        <w:spacing w:after="0" w:line="240" w:lineRule="auto"/>
        <w:jc w:val="both"/>
        <w:rPr>
          <w:rFonts w:ascii="Times New Roman" w:hAnsi="Times New Roman"/>
          <w:bCs/>
          <w:lang w:eastAsia="hr-HR"/>
        </w:rPr>
      </w:pPr>
    </w:p>
    <w:p w14:paraId="7D3304CF" w14:textId="77777777" w:rsidR="00D92776" w:rsidRDefault="00911414" w:rsidP="00875E8A">
      <w:pPr>
        <w:spacing w:after="0" w:line="240" w:lineRule="auto"/>
        <w:jc w:val="both"/>
        <w:rPr>
          <w:rFonts w:ascii="Times New Roman" w:hAnsi="Times New Roman"/>
          <w:bCs/>
          <w:lang w:eastAsia="hr-HR"/>
        </w:rPr>
      </w:pPr>
      <w:r w:rsidRPr="00235530">
        <w:rPr>
          <w:rFonts w:ascii="Times New Roman" w:hAnsi="Times New Roman"/>
          <w:bCs/>
          <w:lang w:eastAsia="hr-HR"/>
        </w:rPr>
        <w:t>Za razliku od ugovora o koncesiji koji imaju varijabilnu naknadu</w:t>
      </w:r>
      <w:r w:rsidR="00D92776">
        <w:rPr>
          <w:rFonts w:ascii="Times New Roman" w:hAnsi="Times New Roman"/>
          <w:bCs/>
          <w:lang w:eastAsia="hr-HR"/>
        </w:rPr>
        <w:t xml:space="preserve"> za koncesiju</w:t>
      </w:r>
      <w:r w:rsidRPr="00235530">
        <w:rPr>
          <w:rFonts w:ascii="Times New Roman" w:hAnsi="Times New Roman"/>
          <w:bCs/>
          <w:lang w:eastAsia="hr-HR"/>
        </w:rPr>
        <w:t xml:space="preserve"> koja ovisi o prihodima ostvarenim iz djelatnosti koja je predmet koncesije, ugovori o koncesiji koji imaju fiksnu naknadu za koncesiju prate se po stanju izvršenih uplata ukoliko je koncesionar uplaćuje sukladno Obavijestima o upisu u Registar koncesija. </w:t>
      </w:r>
    </w:p>
    <w:p w14:paraId="7D3304D0" w14:textId="77777777" w:rsidR="00D92776" w:rsidRDefault="00D92776" w:rsidP="00875E8A">
      <w:pPr>
        <w:spacing w:after="0" w:line="240" w:lineRule="auto"/>
        <w:jc w:val="both"/>
        <w:rPr>
          <w:rFonts w:ascii="Times New Roman" w:hAnsi="Times New Roman"/>
          <w:bCs/>
          <w:lang w:eastAsia="hr-HR"/>
        </w:rPr>
      </w:pPr>
    </w:p>
    <w:p w14:paraId="7D3304D1" w14:textId="77777777" w:rsidR="00911414" w:rsidRPr="00235530" w:rsidRDefault="00911414" w:rsidP="00875E8A">
      <w:pPr>
        <w:spacing w:after="0" w:line="240" w:lineRule="auto"/>
        <w:jc w:val="both"/>
        <w:rPr>
          <w:rFonts w:ascii="Times New Roman" w:hAnsi="Times New Roman"/>
          <w:bCs/>
          <w:lang w:eastAsia="hr-HR"/>
        </w:rPr>
      </w:pPr>
      <w:r w:rsidRPr="00235530">
        <w:rPr>
          <w:rFonts w:ascii="Times New Roman" w:hAnsi="Times New Roman"/>
          <w:bCs/>
          <w:lang w:eastAsia="hr-HR"/>
        </w:rPr>
        <w:t>U operativnom funkcioniranju Registra koncesija učestalo se događa da koncesionari ne uplaćuju naknade prema napucima Ministarstva financija na točne račune koji sadržavaju ID (identifikacijsk</w:t>
      </w:r>
      <w:r w:rsidR="00D92776">
        <w:rPr>
          <w:rFonts w:ascii="Times New Roman" w:hAnsi="Times New Roman"/>
          <w:bCs/>
          <w:lang w:eastAsia="hr-HR"/>
        </w:rPr>
        <w:t>i</w:t>
      </w:r>
      <w:r w:rsidRPr="00235530">
        <w:rPr>
          <w:rFonts w:ascii="Times New Roman" w:hAnsi="Times New Roman"/>
          <w:bCs/>
          <w:lang w:eastAsia="hr-HR"/>
        </w:rPr>
        <w:t xml:space="preserve"> broj za svaki pojedini ugovor o koncesiji). Suradnjom Ministarstva financija, FINA-e i davatelja koncesija ovi problemi </w:t>
      </w:r>
      <w:r w:rsidR="00D92776">
        <w:rPr>
          <w:rFonts w:ascii="Times New Roman" w:hAnsi="Times New Roman"/>
          <w:bCs/>
          <w:lang w:eastAsia="hr-HR"/>
        </w:rPr>
        <w:t>se kontinuirano rješavaju preknjiženjem predmetnih uplata na ispravne brojeve računa i na ispravne PNB, uparujući ih sa ID brojem iz Registra koncesija</w:t>
      </w:r>
      <w:r w:rsidRPr="00235530">
        <w:rPr>
          <w:rFonts w:ascii="Times New Roman" w:hAnsi="Times New Roman"/>
          <w:bCs/>
          <w:lang w:eastAsia="hr-HR"/>
        </w:rPr>
        <w:t>.</w:t>
      </w:r>
    </w:p>
    <w:p w14:paraId="7D3304D2" w14:textId="77777777" w:rsidR="00911414" w:rsidRPr="00235530" w:rsidRDefault="00911414" w:rsidP="00592104">
      <w:pPr>
        <w:spacing w:after="0" w:line="240" w:lineRule="auto"/>
        <w:jc w:val="both"/>
        <w:rPr>
          <w:rFonts w:ascii="Times New Roman" w:hAnsi="Times New Roman"/>
          <w:bCs/>
          <w:lang w:eastAsia="hr-HR"/>
        </w:rPr>
      </w:pPr>
    </w:p>
    <w:p w14:paraId="7D3304D3" w14:textId="77777777" w:rsidR="00911414" w:rsidRPr="00235530" w:rsidRDefault="00911414" w:rsidP="00592104">
      <w:pPr>
        <w:spacing w:after="0" w:line="240" w:lineRule="auto"/>
        <w:jc w:val="both"/>
        <w:rPr>
          <w:rFonts w:ascii="Times New Roman" w:hAnsi="Times New Roman"/>
          <w:bCs/>
          <w:lang w:eastAsia="hr-HR"/>
        </w:rPr>
      </w:pPr>
      <w:r w:rsidRPr="00235530">
        <w:rPr>
          <w:rFonts w:ascii="Times New Roman" w:hAnsi="Times New Roman"/>
          <w:bCs/>
          <w:lang w:eastAsia="hr-HR"/>
        </w:rPr>
        <w:t xml:space="preserve">Osim praćenja uplata, u okviru Registra koncesija prate se i podaci koji se odnose na status pojedinog ugovora o koncesiji od početka do </w:t>
      </w:r>
      <w:r w:rsidR="000A21E2">
        <w:rPr>
          <w:rFonts w:ascii="Times New Roman" w:hAnsi="Times New Roman"/>
          <w:bCs/>
          <w:lang w:eastAsia="hr-HR"/>
        </w:rPr>
        <w:t xml:space="preserve">njegova </w:t>
      </w:r>
      <w:r w:rsidRPr="00235530">
        <w:rPr>
          <w:rFonts w:ascii="Times New Roman" w:hAnsi="Times New Roman"/>
          <w:bCs/>
          <w:lang w:eastAsia="hr-HR"/>
        </w:rPr>
        <w:t>isteka</w:t>
      </w:r>
      <w:r w:rsidR="008A4A64">
        <w:rPr>
          <w:rFonts w:ascii="Times New Roman" w:hAnsi="Times New Roman"/>
          <w:bCs/>
          <w:lang w:eastAsia="hr-HR"/>
        </w:rPr>
        <w:t xml:space="preserve"> (podaci o pokretanju stečajnog postupka, prisilne naplate, raskida ugovora)</w:t>
      </w:r>
      <w:r w:rsidRPr="00235530">
        <w:rPr>
          <w:rFonts w:ascii="Times New Roman" w:hAnsi="Times New Roman"/>
          <w:bCs/>
          <w:lang w:eastAsia="hr-HR"/>
        </w:rPr>
        <w:t xml:space="preserve">. Registar koncesija sadržava podatke o ugovorima koji su istekli, te su tretirani kao javni podaci dostupni svim građanima </w:t>
      </w:r>
      <w:r w:rsidR="000A21E2">
        <w:rPr>
          <w:rFonts w:ascii="Times New Roman" w:hAnsi="Times New Roman"/>
          <w:bCs/>
          <w:lang w:eastAsia="hr-HR"/>
        </w:rPr>
        <w:t>Republike Hrvatske</w:t>
      </w:r>
      <w:r w:rsidRPr="00235530">
        <w:rPr>
          <w:rFonts w:ascii="Times New Roman" w:hAnsi="Times New Roman"/>
          <w:bCs/>
          <w:lang w:eastAsia="hr-HR"/>
        </w:rPr>
        <w:t xml:space="preserve"> putem internetske stranice Ministarstva financija odnosno FINA-e. </w:t>
      </w:r>
    </w:p>
    <w:p w14:paraId="7D3304D4" w14:textId="77777777" w:rsidR="00911414" w:rsidRPr="00235530" w:rsidRDefault="00911414" w:rsidP="00995044">
      <w:pPr>
        <w:spacing w:after="0" w:line="240" w:lineRule="auto"/>
        <w:jc w:val="both"/>
        <w:rPr>
          <w:rFonts w:ascii="Times New Roman" w:hAnsi="Times New Roman"/>
          <w:bCs/>
          <w:lang w:eastAsia="hr-HR"/>
        </w:rPr>
      </w:pPr>
    </w:p>
    <w:p w14:paraId="7D3304D5" w14:textId="77777777" w:rsidR="00911414" w:rsidRPr="00235530" w:rsidRDefault="00911414" w:rsidP="00995044">
      <w:pPr>
        <w:spacing w:after="0" w:line="240" w:lineRule="auto"/>
        <w:jc w:val="both"/>
        <w:rPr>
          <w:rFonts w:ascii="Times New Roman" w:hAnsi="Times New Roman"/>
          <w:bCs/>
          <w:lang w:eastAsia="hr-HR"/>
        </w:rPr>
      </w:pPr>
      <w:r w:rsidRPr="00235530">
        <w:rPr>
          <w:rFonts w:ascii="Times New Roman" w:hAnsi="Times New Roman"/>
          <w:bCs/>
          <w:lang w:eastAsia="hr-HR"/>
        </w:rPr>
        <w:lastRenderedPageBreak/>
        <w:t xml:space="preserve">Pravilnikom </w:t>
      </w:r>
      <w:r w:rsidR="00D92776">
        <w:rPr>
          <w:rFonts w:ascii="Times New Roman" w:hAnsi="Times New Roman"/>
          <w:bCs/>
          <w:lang w:eastAsia="hr-HR"/>
        </w:rPr>
        <w:t>su obuhvaćena</w:t>
      </w:r>
      <w:r w:rsidRPr="00235530">
        <w:rPr>
          <w:rFonts w:ascii="Times New Roman" w:hAnsi="Times New Roman"/>
          <w:bCs/>
          <w:lang w:eastAsia="hr-HR"/>
        </w:rPr>
        <w:t xml:space="preserve"> postupanja vezana uz financijski nadzor koji se provodi od strane davatelja </w:t>
      </w:r>
      <w:r w:rsidR="00D92776">
        <w:rPr>
          <w:rFonts w:ascii="Times New Roman" w:hAnsi="Times New Roman"/>
          <w:bCs/>
          <w:lang w:eastAsia="hr-HR"/>
        </w:rPr>
        <w:t xml:space="preserve">koncesije </w:t>
      </w:r>
      <w:r w:rsidRPr="00235530">
        <w:rPr>
          <w:rFonts w:ascii="Times New Roman" w:hAnsi="Times New Roman"/>
          <w:bCs/>
          <w:lang w:eastAsia="hr-HR"/>
        </w:rPr>
        <w:t xml:space="preserve">i/li druge inspekcijske službe, tako da u svakom trenutku postoje informacije o postupanjima koja obuhvaćaju nadzornu funkciju. </w:t>
      </w:r>
    </w:p>
    <w:p w14:paraId="7D3304D6" w14:textId="77777777" w:rsidR="00911414" w:rsidRPr="00235530" w:rsidRDefault="00911414" w:rsidP="00995044">
      <w:pPr>
        <w:spacing w:after="0" w:line="240" w:lineRule="auto"/>
        <w:jc w:val="both"/>
        <w:rPr>
          <w:rFonts w:ascii="Times New Roman" w:hAnsi="Times New Roman"/>
          <w:bCs/>
          <w:lang w:eastAsia="hr-HR"/>
        </w:rPr>
      </w:pPr>
    </w:p>
    <w:p w14:paraId="7D3304D7" w14:textId="77777777" w:rsidR="00911414" w:rsidRPr="00235530" w:rsidRDefault="00911414" w:rsidP="00995044">
      <w:pPr>
        <w:spacing w:after="0" w:line="240" w:lineRule="auto"/>
        <w:jc w:val="both"/>
        <w:rPr>
          <w:rFonts w:ascii="Times New Roman" w:hAnsi="Times New Roman"/>
          <w:bCs/>
          <w:lang w:eastAsia="hr-HR"/>
        </w:rPr>
      </w:pPr>
      <w:r w:rsidRPr="00235530">
        <w:rPr>
          <w:rFonts w:ascii="Times New Roman" w:hAnsi="Times New Roman"/>
          <w:bCs/>
          <w:lang w:eastAsia="hr-HR"/>
        </w:rPr>
        <w:t>Nadzor nad koncesijama podrazumijeva nadzor davatelja koncesije nad koncesionarima, dok prema</w:t>
      </w:r>
      <w:r w:rsidR="005614BB" w:rsidRPr="00235530">
        <w:rPr>
          <w:rFonts w:ascii="Times New Roman" w:hAnsi="Times New Roman"/>
          <w:bCs/>
          <w:lang w:eastAsia="hr-HR"/>
        </w:rPr>
        <w:t xml:space="preserve"> odredbama Zakona o koncesijama</w:t>
      </w:r>
      <w:r w:rsidRPr="00235530">
        <w:rPr>
          <w:rFonts w:ascii="Times New Roman" w:hAnsi="Times New Roman"/>
          <w:bCs/>
          <w:lang w:eastAsia="hr-HR"/>
        </w:rPr>
        <w:t>, Ministarstvo financija ima mogućnost provedbe dodatnog nadzora i nad davateljima koncesija.</w:t>
      </w:r>
    </w:p>
    <w:p w14:paraId="7D3304D8" w14:textId="77777777" w:rsidR="00911414" w:rsidRPr="00235530" w:rsidRDefault="00911414" w:rsidP="00995044">
      <w:pPr>
        <w:spacing w:after="0" w:line="240" w:lineRule="auto"/>
        <w:jc w:val="both"/>
        <w:rPr>
          <w:rFonts w:ascii="Times New Roman" w:hAnsi="Times New Roman"/>
          <w:b/>
          <w:bCs/>
          <w:lang w:eastAsia="hr-HR"/>
        </w:rPr>
      </w:pPr>
    </w:p>
    <w:p w14:paraId="7D3304D9" w14:textId="77777777" w:rsidR="00911414" w:rsidRPr="00235530" w:rsidRDefault="00911414" w:rsidP="00995044">
      <w:pPr>
        <w:spacing w:after="0" w:line="240" w:lineRule="auto"/>
        <w:jc w:val="both"/>
        <w:rPr>
          <w:rFonts w:ascii="Times New Roman" w:hAnsi="Times New Roman"/>
          <w:b/>
          <w:bCs/>
          <w:lang w:eastAsia="hr-HR"/>
        </w:rPr>
      </w:pPr>
      <w:r w:rsidRPr="00235530">
        <w:rPr>
          <w:rFonts w:ascii="Times New Roman" w:hAnsi="Times New Roman"/>
          <w:b/>
          <w:bCs/>
          <w:lang w:eastAsia="hr-HR"/>
        </w:rPr>
        <w:t>2.</w:t>
      </w:r>
      <w:r w:rsidR="009B083A">
        <w:rPr>
          <w:rFonts w:ascii="Times New Roman" w:hAnsi="Times New Roman"/>
          <w:b/>
          <w:bCs/>
          <w:lang w:eastAsia="hr-HR"/>
        </w:rPr>
        <w:t>3</w:t>
      </w:r>
      <w:r w:rsidRPr="00235530">
        <w:rPr>
          <w:rFonts w:ascii="Times New Roman" w:hAnsi="Times New Roman"/>
          <w:b/>
          <w:bCs/>
          <w:lang w:eastAsia="hr-HR"/>
        </w:rPr>
        <w:t>. Dostupnost i pohranjivanje podataka u Registru koncesija</w:t>
      </w:r>
    </w:p>
    <w:p w14:paraId="7D3304DA" w14:textId="77777777" w:rsidR="00911414" w:rsidRPr="00235530" w:rsidRDefault="00911414" w:rsidP="00995044">
      <w:pPr>
        <w:spacing w:after="0" w:line="240" w:lineRule="auto"/>
        <w:jc w:val="both"/>
        <w:rPr>
          <w:rFonts w:ascii="Times New Roman" w:hAnsi="Times New Roman"/>
          <w:b/>
          <w:bCs/>
          <w:lang w:eastAsia="hr-HR"/>
        </w:rPr>
      </w:pPr>
    </w:p>
    <w:p w14:paraId="7D3304DB" w14:textId="77777777" w:rsidR="00911414" w:rsidRPr="00235530" w:rsidRDefault="00911414" w:rsidP="00995044">
      <w:pPr>
        <w:spacing w:after="0" w:line="240" w:lineRule="auto"/>
        <w:jc w:val="both"/>
        <w:rPr>
          <w:rFonts w:ascii="Times New Roman" w:hAnsi="Times New Roman"/>
          <w:bCs/>
          <w:i/>
          <w:lang w:eastAsia="hr-HR"/>
        </w:rPr>
      </w:pPr>
      <w:r w:rsidRPr="00235530">
        <w:rPr>
          <w:rFonts w:ascii="Times New Roman" w:hAnsi="Times New Roman"/>
          <w:bCs/>
          <w:lang w:eastAsia="hr-HR"/>
        </w:rPr>
        <w:t xml:space="preserve">Davateljima koncesija i koncesionarima omogućen je uvid u podatke iz ugovora o koncesijama putem  </w:t>
      </w:r>
      <w:r w:rsidR="002E2924" w:rsidRPr="00235530">
        <w:rPr>
          <w:rFonts w:ascii="Times New Roman" w:hAnsi="Times New Roman"/>
          <w:bCs/>
          <w:lang w:eastAsia="hr-HR"/>
        </w:rPr>
        <w:t>digitalnog certifikata</w:t>
      </w:r>
      <w:r w:rsidRPr="00235530">
        <w:rPr>
          <w:rFonts w:ascii="Times New Roman" w:hAnsi="Times New Roman"/>
          <w:bCs/>
          <w:lang w:eastAsia="hr-HR"/>
        </w:rPr>
        <w:t xml:space="preserve"> FINA-e. Kao što je prethodno navedeno,  javnosti je omogućen uvid u javne podatke putem internetskih stranica Ministarstva financija. Javnim podacima se smatraju: </w:t>
      </w:r>
      <w:r w:rsidRPr="00235530">
        <w:rPr>
          <w:rFonts w:ascii="Times New Roman" w:hAnsi="Times New Roman"/>
          <w:bCs/>
          <w:iCs/>
          <w:lang w:eastAsia="hr-HR"/>
        </w:rPr>
        <w:t>naziv davatelja koncesije, OIB davatelja koncesije, naziv koncesionara, OIB koncesionara, datum potpisivanja ugovora, odnosno stupanja na snagu ugovora o koncesiji, rok na koji je dana koncesija, datum isteka koncesije, vrsta koncesije, naziv koncesije, područje na kojem se koncesija obavlja, visina i/ili način obračuna naknade za koncesiju.</w:t>
      </w:r>
    </w:p>
    <w:p w14:paraId="7D3304DC" w14:textId="77777777" w:rsidR="00911414" w:rsidRPr="00235530" w:rsidRDefault="00911414" w:rsidP="00995044">
      <w:pPr>
        <w:spacing w:after="0" w:line="240" w:lineRule="auto"/>
        <w:jc w:val="both"/>
        <w:rPr>
          <w:rFonts w:ascii="Times New Roman" w:hAnsi="Times New Roman"/>
          <w:bCs/>
          <w:lang w:eastAsia="hr-HR"/>
        </w:rPr>
      </w:pPr>
    </w:p>
    <w:p w14:paraId="7D3304DD" w14:textId="77777777" w:rsidR="00416201" w:rsidRPr="003D082A" w:rsidRDefault="00416201" w:rsidP="00416201">
      <w:pPr>
        <w:spacing w:after="0" w:line="240" w:lineRule="auto"/>
        <w:jc w:val="both"/>
        <w:rPr>
          <w:rFonts w:ascii="Times New Roman" w:hAnsi="Times New Roman"/>
          <w:b/>
        </w:rPr>
      </w:pPr>
      <w:r w:rsidRPr="003D082A">
        <w:rPr>
          <w:rFonts w:ascii="Times New Roman" w:hAnsi="Times New Roman"/>
          <w:b/>
        </w:rPr>
        <w:t>2.</w:t>
      </w:r>
      <w:r w:rsidR="009B083A" w:rsidRPr="003D082A">
        <w:rPr>
          <w:rFonts w:ascii="Times New Roman" w:hAnsi="Times New Roman"/>
          <w:b/>
        </w:rPr>
        <w:t>4</w:t>
      </w:r>
      <w:r w:rsidRPr="003D082A">
        <w:rPr>
          <w:rFonts w:ascii="Times New Roman" w:hAnsi="Times New Roman"/>
          <w:b/>
        </w:rPr>
        <w:t>. Unapređenje sustava Registra koncesija</w:t>
      </w:r>
    </w:p>
    <w:p w14:paraId="7D3304DE" w14:textId="77777777" w:rsidR="00416201" w:rsidRPr="003D082A" w:rsidRDefault="00416201" w:rsidP="00416201">
      <w:pPr>
        <w:spacing w:after="0" w:line="240" w:lineRule="auto"/>
        <w:jc w:val="both"/>
        <w:rPr>
          <w:rFonts w:ascii="Times New Roman" w:hAnsi="Times New Roman"/>
          <w:color w:val="000000"/>
        </w:rPr>
      </w:pPr>
    </w:p>
    <w:p w14:paraId="7D3304DF" w14:textId="77777777" w:rsidR="00416201" w:rsidRPr="003D082A" w:rsidRDefault="00416201" w:rsidP="00416201">
      <w:pPr>
        <w:spacing w:after="0" w:line="240" w:lineRule="auto"/>
        <w:jc w:val="both"/>
        <w:rPr>
          <w:rFonts w:ascii="Times New Roman" w:hAnsi="Times New Roman"/>
          <w:bCs/>
          <w:lang w:eastAsia="hr-HR"/>
        </w:rPr>
      </w:pPr>
      <w:r w:rsidRPr="003D082A">
        <w:rPr>
          <w:rFonts w:ascii="Times New Roman" w:hAnsi="Times New Roman"/>
          <w:bCs/>
          <w:lang w:eastAsia="hr-HR"/>
        </w:rPr>
        <w:t xml:space="preserve">Kako bi se unaprijedilo funkcioniranje Registra koncesija, Ministarstvo financija i FINA zajedničkim su naporima tražili najbolja rješenja u smislu izvještavanja, veće operativnosti, iznalaženja rješenja radi poboljšanja cjelokupnog sustava Registra koncesija. </w:t>
      </w:r>
    </w:p>
    <w:p w14:paraId="7D3304E0" w14:textId="77777777" w:rsidR="00416201" w:rsidRPr="003D082A" w:rsidRDefault="00416201" w:rsidP="00416201">
      <w:pPr>
        <w:spacing w:after="0" w:line="240" w:lineRule="auto"/>
        <w:jc w:val="both"/>
        <w:rPr>
          <w:rFonts w:ascii="Times New Roman" w:hAnsi="Times New Roman"/>
          <w:color w:val="000000"/>
        </w:rPr>
      </w:pPr>
    </w:p>
    <w:p w14:paraId="7D3304E1" w14:textId="77777777" w:rsidR="00416201" w:rsidRPr="003D082A" w:rsidRDefault="00416201" w:rsidP="00416201">
      <w:pPr>
        <w:spacing w:after="0" w:line="240" w:lineRule="auto"/>
        <w:jc w:val="both"/>
        <w:rPr>
          <w:rFonts w:ascii="Times New Roman" w:hAnsi="Times New Roman"/>
          <w:color w:val="000000"/>
        </w:rPr>
      </w:pPr>
      <w:r w:rsidRPr="003D082A">
        <w:rPr>
          <w:rFonts w:ascii="Times New Roman" w:hAnsi="Times New Roman"/>
          <w:color w:val="000000"/>
        </w:rPr>
        <w:t>Ministarstvo financija i FINA kontinuirano</w:t>
      </w:r>
      <w:r w:rsidR="00614A59" w:rsidRPr="003D082A">
        <w:rPr>
          <w:rFonts w:ascii="Times New Roman" w:hAnsi="Times New Roman"/>
          <w:color w:val="000000"/>
        </w:rPr>
        <w:t xml:space="preserve"> i u suradnji nastojali su unaprijediti rad Registra koncesija što se odnosi na poboljšanje</w:t>
      </w:r>
      <w:r w:rsidRPr="003D082A">
        <w:rPr>
          <w:rFonts w:ascii="Times New Roman" w:hAnsi="Times New Roman"/>
          <w:color w:val="000000"/>
        </w:rPr>
        <w:t xml:space="preserve"> sučelj</w:t>
      </w:r>
      <w:r w:rsidR="00614A59" w:rsidRPr="003D082A">
        <w:rPr>
          <w:rFonts w:ascii="Times New Roman" w:hAnsi="Times New Roman"/>
          <w:color w:val="000000"/>
        </w:rPr>
        <w:t>a</w:t>
      </w:r>
      <w:r w:rsidRPr="003D082A">
        <w:rPr>
          <w:rFonts w:ascii="Times New Roman" w:hAnsi="Times New Roman"/>
          <w:color w:val="000000"/>
        </w:rPr>
        <w:t xml:space="preserve"> i sastavnic</w:t>
      </w:r>
      <w:r w:rsidR="00614A59" w:rsidRPr="003D082A">
        <w:rPr>
          <w:rFonts w:ascii="Times New Roman" w:hAnsi="Times New Roman"/>
          <w:color w:val="000000"/>
        </w:rPr>
        <w:t>a</w:t>
      </w:r>
      <w:r w:rsidRPr="003D082A">
        <w:rPr>
          <w:rFonts w:ascii="Times New Roman" w:hAnsi="Times New Roman"/>
          <w:color w:val="000000"/>
        </w:rPr>
        <w:t xml:space="preserve"> Registra koncesija, kako bi podiglo njegovu efikasnost i kvalitetu, te olakšalo služenje istim od strane svih davatelja koncesija. </w:t>
      </w:r>
    </w:p>
    <w:p w14:paraId="7D3304E2" w14:textId="77777777" w:rsidR="00416201" w:rsidRPr="003D082A" w:rsidRDefault="00416201" w:rsidP="00416201">
      <w:pPr>
        <w:spacing w:after="0" w:line="240" w:lineRule="auto"/>
        <w:jc w:val="both"/>
        <w:rPr>
          <w:rFonts w:ascii="Times New Roman" w:eastAsia="Times New Roman" w:hAnsi="Times New Roman"/>
          <w:sz w:val="24"/>
          <w:szCs w:val="24"/>
          <w:lang w:eastAsia="hr-HR"/>
        </w:rPr>
      </w:pPr>
    </w:p>
    <w:p w14:paraId="7D3304E3" w14:textId="77777777" w:rsidR="009D0E20" w:rsidRPr="003D082A" w:rsidRDefault="009D0E20" w:rsidP="009D0E20">
      <w:pPr>
        <w:spacing w:after="0" w:line="240" w:lineRule="auto"/>
        <w:jc w:val="both"/>
        <w:rPr>
          <w:rFonts w:ascii="Times New Roman" w:eastAsia="Times New Roman" w:hAnsi="Times New Roman"/>
          <w:lang w:eastAsia="hr-HR"/>
        </w:rPr>
      </w:pPr>
      <w:r w:rsidRPr="003D082A">
        <w:rPr>
          <w:rFonts w:ascii="Times New Roman" w:eastAsia="Times New Roman" w:hAnsi="Times New Roman"/>
          <w:lang w:eastAsia="hr-HR"/>
        </w:rPr>
        <w:t>Unos i ažuriranje podatka u aplikaciji Registar koncesija znači da su davatelji koncesija dužni:</w:t>
      </w:r>
    </w:p>
    <w:p w14:paraId="7D3304E4" w14:textId="77777777" w:rsidR="009D0E20" w:rsidRPr="003D082A" w:rsidRDefault="009D0E20" w:rsidP="009D0E20">
      <w:pPr>
        <w:spacing w:after="0" w:line="240" w:lineRule="auto"/>
        <w:jc w:val="both"/>
        <w:rPr>
          <w:rFonts w:ascii="Times New Roman" w:eastAsia="Times New Roman" w:hAnsi="Times New Roman"/>
          <w:lang w:eastAsia="hr-HR"/>
        </w:rPr>
      </w:pPr>
    </w:p>
    <w:p w14:paraId="7D3304E5" w14:textId="77777777" w:rsidR="009D0E20" w:rsidRPr="003D082A" w:rsidRDefault="009D0E20" w:rsidP="00FC658F">
      <w:pPr>
        <w:numPr>
          <w:ilvl w:val="0"/>
          <w:numId w:val="6"/>
        </w:numPr>
        <w:spacing w:after="0" w:line="240" w:lineRule="auto"/>
        <w:jc w:val="both"/>
        <w:rPr>
          <w:rFonts w:ascii="Times New Roman" w:eastAsia="Times New Roman" w:hAnsi="Times New Roman"/>
          <w:lang w:eastAsia="hr-HR"/>
        </w:rPr>
      </w:pPr>
      <w:r w:rsidRPr="003D082A">
        <w:rPr>
          <w:rFonts w:ascii="Times New Roman" w:eastAsia="Times New Roman" w:hAnsi="Times New Roman"/>
          <w:lang w:eastAsia="hr-HR"/>
        </w:rPr>
        <w:t>svaki novi ugovor o koncesiji upisati u Registar koncesija</w:t>
      </w:r>
    </w:p>
    <w:p w14:paraId="7D3304E6" w14:textId="77777777" w:rsidR="009D0E20" w:rsidRDefault="009D0E20" w:rsidP="00FC658F">
      <w:pPr>
        <w:numPr>
          <w:ilvl w:val="0"/>
          <w:numId w:val="6"/>
        </w:numPr>
        <w:spacing w:after="0" w:line="240" w:lineRule="auto"/>
        <w:jc w:val="both"/>
        <w:rPr>
          <w:rFonts w:ascii="Times New Roman" w:eastAsia="Times New Roman" w:hAnsi="Times New Roman"/>
          <w:lang w:eastAsia="hr-HR"/>
        </w:rPr>
      </w:pPr>
      <w:r w:rsidRPr="003D082A">
        <w:rPr>
          <w:rFonts w:ascii="Times New Roman" w:eastAsia="Times New Roman" w:hAnsi="Times New Roman"/>
          <w:lang w:eastAsia="hr-HR"/>
        </w:rPr>
        <w:t>obavijestiti koncesionara o upisu ugovora o koncesiji u Registar koncesija slanjem Obavijesti o upisu u Registar koncesija</w:t>
      </w:r>
    </w:p>
    <w:p w14:paraId="7D3304E7" w14:textId="77777777" w:rsidR="0075773E" w:rsidRPr="0075773E" w:rsidRDefault="0075773E" w:rsidP="0075773E">
      <w:pPr>
        <w:pStyle w:val="ListParagraph"/>
        <w:numPr>
          <w:ilvl w:val="0"/>
          <w:numId w:val="6"/>
        </w:numPr>
        <w:spacing w:after="0" w:line="240" w:lineRule="auto"/>
        <w:jc w:val="both"/>
        <w:rPr>
          <w:rFonts w:ascii="Times New Roman" w:eastAsia="Times New Roman" w:hAnsi="Times New Roman"/>
          <w:lang w:eastAsia="hr-HR"/>
        </w:rPr>
      </w:pPr>
      <w:r w:rsidRPr="0075773E">
        <w:rPr>
          <w:rFonts w:ascii="Times New Roman" w:eastAsia="Times New Roman" w:hAnsi="Times New Roman"/>
          <w:lang w:eastAsia="hr-HR"/>
        </w:rPr>
        <w:t>unijeti svako novo zaduženje za varijabilni dio naknade za koncesiju</w:t>
      </w:r>
    </w:p>
    <w:p w14:paraId="7D3304E8" w14:textId="77777777" w:rsidR="009D0E20" w:rsidRPr="003D082A" w:rsidRDefault="009D0E20" w:rsidP="00FC658F">
      <w:pPr>
        <w:numPr>
          <w:ilvl w:val="0"/>
          <w:numId w:val="6"/>
        </w:numPr>
        <w:spacing w:after="0" w:line="240" w:lineRule="auto"/>
        <w:jc w:val="both"/>
        <w:rPr>
          <w:rFonts w:ascii="Times New Roman" w:eastAsia="Times New Roman" w:hAnsi="Times New Roman"/>
          <w:lang w:eastAsia="hr-HR"/>
        </w:rPr>
      </w:pPr>
      <w:r w:rsidRPr="003D082A">
        <w:rPr>
          <w:rFonts w:ascii="Times New Roman" w:eastAsia="Times New Roman" w:hAnsi="Times New Roman"/>
          <w:lang w:eastAsia="hr-HR"/>
        </w:rPr>
        <w:t>unijeti svaku promjenu podataka koje je sadržana u aplikaciji Registra koncesija (podaci koji se odnose na davatelja koncesije, koncesionara, primatelja prihoda, izmjene naknade, promjene ostalih podataka)</w:t>
      </w:r>
    </w:p>
    <w:p w14:paraId="7D3304E9" w14:textId="77777777" w:rsidR="009D0E20" w:rsidRPr="003D082A" w:rsidRDefault="009D0E20" w:rsidP="00FC658F">
      <w:pPr>
        <w:numPr>
          <w:ilvl w:val="0"/>
          <w:numId w:val="6"/>
        </w:numPr>
        <w:spacing w:after="0" w:line="240" w:lineRule="auto"/>
        <w:jc w:val="both"/>
        <w:rPr>
          <w:rFonts w:ascii="Times New Roman" w:eastAsia="Times New Roman" w:hAnsi="Times New Roman"/>
          <w:lang w:eastAsia="hr-HR"/>
        </w:rPr>
      </w:pPr>
      <w:r w:rsidRPr="003D082A">
        <w:rPr>
          <w:rFonts w:ascii="Times New Roman" w:eastAsia="Times New Roman" w:hAnsi="Times New Roman"/>
          <w:lang w:eastAsia="hr-HR"/>
        </w:rPr>
        <w:t>unijeti podatke za svaki pojedini ugovor o koncesiji nakon obavljenog financijskog nadzora</w:t>
      </w:r>
    </w:p>
    <w:p w14:paraId="7D3304EA" w14:textId="77777777" w:rsidR="009D0E20" w:rsidRPr="004D0258" w:rsidRDefault="009D0E20" w:rsidP="004D0258">
      <w:pPr>
        <w:numPr>
          <w:ilvl w:val="0"/>
          <w:numId w:val="6"/>
        </w:numPr>
        <w:spacing w:after="0" w:line="240" w:lineRule="auto"/>
        <w:jc w:val="both"/>
        <w:rPr>
          <w:rFonts w:ascii="Times New Roman" w:eastAsia="Times New Roman" w:hAnsi="Times New Roman"/>
          <w:lang w:eastAsia="hr-HR"/>
        </w:rPr>
      </w:pPr>
      <w:r w:rsidRPr="003D082A">
        <w:rPr>
          <w:rFonts w:ascii="Times New Roman" w:eastAsia="Times New Roman" w:hAnsi="Times New Roman"/>
          <w:lang w:eastAsia="hr-HR"/>
        </w:rPr>
        <w:t>unijeti podatke o svakom ugovoru o koncesiji  u slučaju pokretanja ili okončanja stečajnog postupka, kao i podatke o pokretanju prisilne naplate</w:t>
      </w:r>
      <w:r w:rsidR="004D0258">
        <w:rPr>
          <w:rFonts w:ascii="Times New Roman" w:eastAsia="Times New Roman" w:hAnsi="Times New Roman"/>
          <w:lang w:eastAsia="hr-HR"/>
        </w:rPr>
        <w:t xml:space="preserve"> </w:t>
      </w:r>
      <w:r w:rsidRPr="004D0258">
        <w:rPr>
          <w:rFonts w:ascii="Times New Roman" w:eastAsia="Times New Roman" w:hAnsi="Times New Roman"/>
          <w:lang w:eastAsia="hr-HR"/>
        </w:rPr>
        <w:t>te su dužni kontinuirano pratiti izvršenje obveza iz ugovora o koncesiji a koji se prvenstveno odnose na plaćanje naknade za koncesiju.</w:t>
      </w:r>
    </w:p>
    <w:p w14:paraId="7D3304EB" w14:textId="77777777" w:rsidR="009D0E20" w:rsidRPr="003D082A" w:rsidRDefault="009D0E20" w:rsidP="009D0E20">
      <w:pPr>
        <w:spacing w:after="0" w:line="240" w:lineRule="auto"/>
        <w:ind w:left="1065"/>
        <w:jc w:val="both"/>
        <w:rPr>
          <w:rFonts w:ascii="Times New Roman" w:eastAsia="Times New Roman" w:hAnsi="Times New Roman"/>
          <w:lang w:eastAsia="hr-HR"/>
        </w:rPr>
      </w:pPr>
    </w:p>
    <w:p w14:paraId="7D3304EC" w14:textId="77777777" w:rsidR="009D0E20" w:rsidRPr="009D0E20" w:rsidRDefault="009D0E20" w:rsidP="009D0E20">
      <w:pPr>
        <w:spacing w:after="0" w:line="240" w:lineRule="auto"/>
        <w:jc w:val="both"/>
        <w:rPr>
          <w:rFonts w:ascii="Times New Roman" w:eastAsia="Times New Roman" w:hAnsi="Times New Roman"/>
          <w:lang w:eastAsia="hr-HR"/>
        </w:rPr>
      </w:pPr>
      <w:r w:rsidRPr="003D082A">
        <w:rPr>
          <w:rFonts w:ascii="Times New Roman" w:eastAsia="Times New Roman" w:hAnsi="Times New Roman"/>
          <w:lang w:eastAsia="hr-HR"/>
        </w:rPr>
        <w:t xml:space="preserve">Uključivanje davatelja koncesija u proces unosa i ažuriranja podataka u aplikaciji Registra koncesija </w:t>
      </w:r>
      <w:r w:rsidR="003D082A" w:rsidRPr="003D082A">
        <w:rPr>
          <w:rFonts w:ascii="Times New Roman" w:eastAsia="Times New Roman" w:hAnsi="Times New Roman"/>
          <w:lang w:eastAsia="hr-HR"/>
        </w:rPr>
        <w:t xml:space="preserve">ima za cilj </w:t>
      </w:r>
      <w:r w:rsidRPr="003D082A">
        <w:rPr>
          <w:rFonts w:ascii="Times New Roman" w:eastAsia="Times New Roman" w:hAnsi="Times New Roman"/>
          <w:lang w:eastAsia="hr-HR"/>
        </w:rPr>
        <w:t xml:space="preserve">učinkovitije, efikasnije  </w:t>
      </w:r>
      <w:r w:rsidR="003D082A" w:rsidRPr="003D082A">
        <w:rPr>
          <w:rFonts w:ascii="Times New Roman" w:eastAsia="Times New Roman" w:hAnsi="Times New Roman"/>
          <w:lang w:eastAsia="hr-HR"/>
        </w:rPr>
        <w:t>prikupljanja i evidenciju</w:t>
      </w:r>
      <w:r w:rsidRPr="003D082A">
        <w:rPr>
          <w:rFonts w:ascii="Times New Roman" w:eastAsia="Times New Roman" w:hAnsi="Times New Roman"/>
          <w:lang w:eastAsia="hr-HR"/>
        </w:rPr>
        <w:t xml:space="preserve"> podataka u Registru koncesija, jer će isti biti direktno unešeni u aplikaciju.</w:t>
      </w:r>
      <w:r w:rsidRPr="009D0E20">
        <w:rPr>
          <w:rFonts w:ascii="Times New Roman" w:eastAsia="Times New Roman" w:hAnsi="Times New Roman"/>
          <w:lang w:eastAsia="hr-HR"/>
        </w:rPr>
        <w:t xml:space="preserve"> </w:t>
      </w:r>
    </w:p>
    <w:p w14:paraId="7D3304ED" w14:textId="77777777" w:rsidR="00875E8A" w:rsidRPr="009D0E20" w:rsidRDefault="00875E8A" w:rsidP="009D0E20">
      <w:pPr>
        <w:spacing w:after="0" w:line="240" w:lineRule="auto"/>
        <w:jc w:val="both"/>
        <w:rPr>
          <w:rFonts w:ascii="Times New Roman" w:hAnsi="Times New Roman"/>
          <w:bCs/>
          <w:lang w:eastAsia="hr-HR"/>
        </w:rPr>
      </w:pPr>
    </w:p>
    <w:p w14:paraId="7D3304EE" w14:textId="77777777" w:rsidR="009E22D3" w:rsidRDefault="009E22D3" w:rsidP="009D0E20">
      <w:pPr>
        <w:spacing w:after="0" w:line="240" w:lineRule="auto"/>
        <w:jc w:val="both"/>
        <w:rPr>
          <w:rFonts w:ascii="Times New Roman" w:hAnsi="Times New Roman"/>
          <w:bCs/>
          <w:lang w:eastAsia="hr-HR"/>
        </w:rPr>
      </w:pPr>
    </w:p>
    <w:p w14:paraId="7D3304EF" w14:textId="77777777" w:rsidR="00E42093" w:rsidRDefault="00E42093" w:rsidP="009D0E20">
      <w:pPr>
        <w:spacing w:after="0" w:line="240" w:lineRule="auto"/>
        <w:jc w:val="both"/>
        <w:rPr>
          <w:rFonts w:ascii="Times New Roman" w:hAnsi="Times New Roman"/>
          <w:bCs/>
          <w:lang w:eastAsia="hr-HR"/>
        </w:rPr>
      </w:pPr>
    </w:p>
    <w:p w14:paraId="7D3304F0" w14:textId="77777777" w:rsidR="00E42093" w:rsidRDefault="00E42093" w:rsidP="009D0E20">
      <w:pPr>
        <w:spacing w:after="0" w:line="240" w:lineRule="auto"/>
        <w:jc w:val="both"/>
        <w:rPr>
          <w:rFonts w:ascii="Times New Roman" w:hAnsi="Times New Roman"/>
          <w:bCs/>
          <w:lang w:eastAsia="hr-HR"/>
        </w:rPr>
      </w:pPr>
    </w:p>
    <w:p w14:paraId="7D3304F1" w14:textId="77777777" w:rsidR="00E42093" w:rsidRDefault="00E42093" w:rsidP="009D0E20">
      <w:pPr>
        <w:spacing w:after="0" w:line="240" w:lineRule="auto"/>
        <w:jc w:val="both"/>
        <w:rPr>
          <w:rFonts w:ascii="Times New Roman" w:hAnsi="Times New Roman"/>
          <w:bCs/>
          <w:lang w:eastAsia="hr-HR"/>
        </w:rPr>
      </w:pPr>
    </w:p>
    <w:p w14:paraId="7D3304F2" w14:textId="77777777" w:rsidR="00E42093" w:rsidRDefault="00E42093" w:rsidP="009D0E20">
      <w:pPr>
        <w:spacing w:after="0" w:line="240" w:lineRule="auto"/>
        <w:jc w:val="both"/>
        <w:rPr>
          <w:rFonts w:ascii="Times New Roman" w:hAnsi="Times New Roman"/>
          <w:bCs/>
          <w:lang w:eastAsia="hr-HR"/>
        </w:rPr>
      </w:pPr>
    </w:p>
    <w:p w14:paraId="7D3304F3" w14:textId="77777777" w:rsidR="00E42093" w:rsidRDefault="00E42093" w:rsidP="009D0E20">
      <w:pPr>
        <w:spacing w:after="0" w:line="240" w:lineRule="auto"/>
        <w:jc w:val="both"/>
        <w:rPr>
          <w:rFonts w:ascii="Times New Roman" w:hAnsi="Times New Roman"/>
          <w:bCs/>
          <w:lang w:eastAsia="hr-HR"/>
        </w:rPr>
      </w:pPr>
    </w:p>
    <w:p w14:paraId="7D3304F4" w14:textId="77777777" w:rsidR="00E42093" w:rsidRDefault="00E42093" w:rsidP="009D0E20">
      <w:pPr>
        <w:spacing w:after="0" w:line="240" w:lineRule="auto"/>
        <w:jc w:val="both"/>
        <w:rPr>
          <w:rFonts w:ascii="Times New Roman" w:hAnsi="Times New Roman"/>
          <w:bCs/>
          <w:lang w:eastAsia="hr-HR"/>
        </w:rPr>
      </w:pPr>
    </w:p>
    <w:p w14:paraId="7D3304F5" w14:textId="77777777" w:rsidR="00730369" w:rsidRDefault="00730369" w:rsidP="009D0E20">
      <w:pPr>
        <w:spacing w:after="0" w:line="240" w:lineRule="auto"/>
        <w:jc w:val="both"/>
        <w:rPr>
          <w:rFonts w:ascii="Times New Roman" w:hAnsi="Times New Roman"/>
          <w:bCs/>
          <w:lang w:eastAsia="hr-HR"/>
        </w:rPr>
      </w:pPr>
    </w:p>
    <w:p w14:paraId="7D3304F6" w14:textId="77777777" w:rsidR="00E42093" w:rsidRDefault="00E42093" w:rsidP="009D0E20">
      <w:pPr>
        <w:spacing w:after="0" w:line="240" w:lineRule="auto"/>
        <w:jc w:val="both"/>
        <w:rPr>
          <w:rFonts w:ascii="Times New Roman" w:hAnsi="Times New Roman"/>
          <w:bCs/>
          <w:lang w:eastAsia="hr-HR"/>
        </w:rPr>
      </w:pPr>
    </w:p>
    <w:p w14:paraId="7D3304F7" w14:textId="77777777" w:rsidR="00E42093" w:rsidRDefault="00E42093" w:rsidP="009D0E20">
      <w:pPr>
        <w:spacing w:after="0" w:line="240" w:lineRule="auto"/>
        <w:jc w:val="both"/>
        <w:rPr>
          <w:rFonts w:ascii="Times New Roman" w:hAnsi="Times New Roman"/>
          <w:bCs/>
          <w:lang w:eastAsia="hr-HR"/>
        </w:rPr>
      </w:pPr>
    </w:p>
    <w:p w14:paraId="7D3304F8" w14:textId="77777777" w:rsidR="00E42093" w:rsidRDefault="00E42093" w:rsidP="009D0E20">
      <w:pPr>
        <w:spacing w:after="0" w:line="240" w:lineRule="auto"/>
        <w:jc w:val="both"/>
        <w:rPr>
          <w:rFonts w:ascii="Times New Roman" w:hAnsi="Times New Roman"/>
          <w:bCs/>
          <w:lang w:eastAsia="hr-HR"/>
        </w:rPr>
      </w:pPr>
    </w:p>
    <w:p w14:paraId="7D3304F9" w14:textId="77777777" w:rsidR="00CF5CE4" w:rsidRDefault="00CF5CE4" w:rsidP="009D0E20">
      <w:pPr>
        <w:spacing w:after="0" w:line="240" w:lineRule="auto"/>
        <w:jc w:val="both"/>
        <w:rPr>
          <w:rFonts w:ascii="Times New Roman" w:hAnsi="Times New Roman"/>
          <w:bCs/>
          <w:lang w:eastAsia="hr-HR"/>
        </w:rPr>
      </w:pPr>
    </w:p>
    <w:p w14:paraId="7D3304FA" w14:textId="77777777" w:rsidR="00CF5CE4" w:rsidRDefault="00CF5CE4" w:rsidP="009D0E20">
      <w:pPr>
        <w:spacing w:after="0" w:line="240" w:lineRule="auto"/>
        <w:jc w:val="both"/>
        <w:rPr>
          <w:rFonts w:ascii="Times New Roman" w:hAnsi="Times New Roman"/>
          <w:bCs/>
          <w:lang w:eastAsia="hr-HR"/>
        </w:rPr>
      </w:pPr>
    </w:p>
    <w:p w14:paraId="7D3304FB" w14:textId="77777777" w:rsidR="00CF5CE4" w:rsidRDefault="00CF5CE4" w:rsidP="009D0E20">
      <w:pPr>
        <w:spacing w:after="0" w:line="240" w:lineRule="auto"/>
        <w:jc w:val="both"/>
        <w:rPr>
          <w:rFonts w:ascii="Times New Roman" w:hAnsi="Times New Roman"/>
          <w:bCs/>
          <w:lang w:eastAsia="hr-HR"/>
        </w:rPr>
      </w:pPr>
    </w:p>
    <w:p w14:paraId="7D3304FC" w14:textId="77777777" w:rsidR="00575C1A" w:rsidRDefault="00575C1A" w:rsidP="009D0E20">
      <w:pPr>
        <w:spacing w:after="0" w:line="240" w:lineRule="auto"/>
        <w:jc w:val="both"/>
        <w:rPr>
          <w:rFonts w:ascii="Times New Roman" w:hAnsi="Times New Roman"/>
          <w:bCs/>
          <w:lang w:eastAsia="hr-HR"/>
        </w:rPr>
      </w:pPr>
    </w:p>
    <w:p w14:paraId="7D3304FD" w14:textId="77777777" w:rsidR="00575C1A" w:rsidRDefault="00575C1A" w:rsidP="009D0E20">
      <w:pPr>
        <w:spacing w:after="0" w:line="240" w:lineRule="auto"/>
        <w:jc w:val="both"/>
        <w:rPr>
          <w:rFonts w:ascii="Times New Roman" w:hAnsi="Times New Roman"/>
          <w:bCs/>
          <w:lang w:eastAsia="hr-HR"/>
        </w:rPr>
      </w:pPr>
    </w:p>
    <w:p w14:paraId="7D3304FE" w14:textId="77777777" w:rsidR="00575C1A" w:rsidRDefault="00575C1A" w:rsidP="009D0E20">
      <w:pPr>
        <w:spacing w:after="0" w:line="240" w:lineRule="auto"/>
        <w:jc w:val="both"/>
        <w:rPr>
          <w:rFonts w:ascii="Times New Roman" w:hAnsi="Times New Roman"/>
          <w:bCs/>
          <w:lang w:eastAsia="hr-HR"/>
        </w:rPr>
      </w:pPr>
    </w:p>
    <w:p w14:paraId="7D3304FF" w14:textId="77777777" w:rsidR="00575C1A" w:rsidRDefault="00575C1A" w:rsidP="009D0E20">
      <w:pPr>
        <w:spacing w:after="0" w:line="240" w:lineRule="auto"/>
        <w:jc w:val="both"/>
        <w:rPr>
          <w:rFonts w:ascii="Times New Roman" w:hAnsi="Times New Roman"/>
          <w:bCs/>
          <w:lang w:eastAsia="hr-HR"/>
        </w:rPr>
      </w:pPr>
    </w:p>
    <w:p w14:paraId="7D330500" w14:textId="77777777" w:rsidR="00575C1A" w:rsidRDefault="00575C1A" w:rsidP="009D0E20">
      <w:pPr>
        <w:spacing w:after="0" w:line="240" w:lineRule="auto"/>
        <w:jc w:val="both"/>
        <w:rPr>
          <w:rFonts w:ascii="Times New Roman" w:hAnsi="Times New Roman"/>
          <w:bCs/>
          <w:lang w:eastAsia="hr-HR"/>
        </w:rPr>
      </w:pPr>
    </w:p>
    <w:p w14:paraId="7D330501" w14:textId="77777777" w:rsidR="00575C1A" w:rsidRDefault="00575C1A" w:rsidP="009D0E20">
      <w:pPr>
        <w:spacing w:after="0" w:line="240" w:lineRule="auto"/>
        <w:jc w:val="both"/>
        <w:rPr>
          <w:rFonts w:ascii="Times New Roman" w:hAnsi="Times New Roman"/>
          <w:bCs/>
          <w:lang w:eastAsia="hr-HR"/>
        </w:rPr>
      </w:pPr>
    </w:p>
    <w:p w14:paraId="7D330502" w14:textId="77777777" w:rsidR="00575C1A" w:rsidRDefault="00575C1A" w:rsidP="009D0E20">
      <w:pPr>
        <w:spacing w:after="0" w:line="240" w:lineRule="auto"/>
        <w:jc w:val="both"/>
        <w:rPr>
          <w:rFonts w:ascii="Times New Roman" w:hAnsi="Times New Roman"/>
          <w:bCs/>
          <w:lang w:eastAsia="hr-HR"/>
        </w:rPr>
      </w:pPr>
    </w:p>
    <w:p w14:paraId="7D330503" w14:textId="77777777" w:rsidR="00575C1A" w:rsidRDefault="00575C1A" w:rsidP="009D0E20">
      <w:pPr>
        <w:spacing w:after="0" w:line="240" w:lineRule="auto"/>
        <w:jc w:val="both"/>
        <w:rPr>
          <w:rFonts w:ascii="Times New Roman" w:hAnsi="Times New Roman"/>
          <w:bCs/>
          <w:lang w:eastAsia="hr-HR"/>
        </w:rPr>
      </w:pPr>
    </w:p>
    <w:p w14:paraId="7D330504" w14:textId="77777777" w:rsidR="00575C1A" w:rsidRDefault="00575C1A" w:rsidP="009D0E20">
      <w:pPr>
        <w:spacing w:after="0" w:line="240" w:lineRule="auto"/>
        <w:jc w:val="both"/>
        <w:rPr>
          <w:rFonts w:ascii="Times New Roman" w:hAnsi="Times New Roman"/>
          <w:bCs/>
          <w:lang w:eastAsia="hr-HR"/>
        </w:rPr>
      </w:pPr>
    </w:p>
    <w:p w14:paraId="7D330505" w14:textId="77777777" w:rsidR="00575C1A" w:rsidRDefault="00575C1A" w:rsidP="009D0E20">
      <w:pPr>
        <w:spacing w:after="0" w:line="240" w:lineRule="auto"/>
        <w:jc w:val="both"/>
        <w:rPr>
          <w:rFonts w:ascii="Times New Roman" w:hAnsi="Times New Roman"/>
          <w:bCs/>
          <w:lang w:eastAsia="hr-HR"/>
        </w:rPr>
      </w:pPr>
    </w:p>
    <w:p w14:paraId="7D330506" w14:textId="77777777" w:rsidR="00575C1A" w:rsidRDefault="00575C1A" w:rsidP="009D0E20">
      <w:pPr>
        <w:spacing w:after="0" w:line="240" w:lineRule="auto"/>
        <w:jc w:val="both"/>
        <w:rPr>
          <w:rFonts w:ascii="Times New Roman" w:hAnsi="Times New Roman"/>
          <w:bCs/>
          <w:lang w:eastAsia="hr-HR"/>
        </w:rPr>
      </w:pPr>
    </w:p>
    <w:p w14:paraId="7D330507" w14:textId="77777777" w:rsidR="00575C1A" w:rsidRDefault="00575C1A" w:rsidP="009D0E20">
      <w:pPr>
        <w:spacing w:after="0" w:line="240" w:lineRule="auto"/>
        <w:jc w:val="both"/>
        <w:rPr>
          <w:rFonts w:ascii="Times New Roman" w:hAnsi="Times New Roman"/>
          <w:bCs/>
          <w:lang w:eastAsia="hr-HR"/>
        </w:rPr>
      </w:pPr>
    </w:p>
    <w:p w14:paraId="7D330508" w14:textId="77777777" w:rsidR="00575C1A" w:rsidRDefault="00575C1A" w:rsidP="009D0E20">
      <w:pPr>
        <w:spacing w:after="0" w:line="240" w:lineRule="auto"/>
        <w:jc w:val="both"/>
        <w:rPr>
          <w:rFonts w:ascii="Times New Roman" w:hAnsi="Times New Roman"/>
          <w:bCs/>
          <w:lang w:eastAsia="hr-HR"/>
        </w:rPr>
      </w:pPr>
    </w:p>
    <w:p w14:paraId="7D330509" w14:textId="77777777" w:rsidR="00575C1A" w:rsidRDefault="00575C1A" w:rsidP="009D0E20">
      <w:pPr>
        <w:spacing w:after="0" w:line="240" w:lineRule="auto"/>
        <w:jc w:val="both"/>
        <w:rPr>
          <w:rFonts w:ascii="Times New Roman" w:hAnsi="Times New Roman"/>
          <w:bCs/>
          <w:lang w:eastAsia="hr-HR"/>
        </w:rPr>
      </w:pPr>
    </w:p>
    <w:p w14:paraId="7D33050A" w14:textId="77777777" w:rsidR="00575C1A" w:rsidRDefault="00575C1A" w:rsidP="009D0E20">
      <w:pPr>
        <w:spacing w:after="0" w:line="240" w:lineRule="auto"/>
        <w:jc w:val="both"/>
        <w:rPr>
          <w:rFonts w:ascii="Times New Roman" w:hAnsi="Times New Roman"/>
          <w:bCs/>
          <w:lang w:eastAsia="hr-HR"/>
        </w:rPr>
      </w:pPr>
    </w:p>
    <w:p w14:paraId="7D33050B" w14:textId="77777777" w:rsidR="00575C1A" w:rsidRDefault="00575C1A" w:rsidP="009D0E20">
      <w:pPr>
        <w:spacing w:after="0" w:line="240" w:lineRule="auto"/>
        <w:jc w:val="both"/>
        <w:rPr>
          <w:rFonts w:ascii="Times New Roman" w:hAnsi="Times New Roman"/>
          <w:bCs/>
          <w:lang w:eastAsia="hr-HR"/>
        </w:rPr>
      </w:pPr>
    </w:p>
    <w:p w14:paraId="7D33050C" w14:textId="77777777" w:rsidR="00575C1A" w:rsidRDefault="00575C1A" w:rsidP="009D0E20">
      <w:pPr>
        <w:spacing w:after="0" w:line="240" w:lineRule="auto"/>
        <w:jc w:val="both"/>
        <w:rPr>
          <w:rFonts w:ascii="Times New Roman" w:hAnsi="Times New Roman"/>
          <w:bCs/>
          <w:lang w:eastAsia="hr-HR"/>
        </w:rPr>
      </w:pPr>
    </w:p>
    <w:p w14:paraId="7D33050D" w14:textId="77777777" w:rsidR="00575C1A" w:rsidRDefault="00575C1A" w:rsidP="009D0E20">
      <w:pPr>
        <w:spacing w:after="0" w:line="240" w:lineRule="auto"/>
        <w:jc w:val="both"/>
        <w:rPr>
          <w:rFonts w:ascii="Times New Roman" w:hAnsi="Times New Roman"/>
          <w:bCs/>
          <w:lang w:eastAsia="hr-HR"/>
        </w:rPr>
      </w:pPr>
    </w:p>
    <w:p w14:paraId="7D33050E" w14:textId="77777777" w:rsidR="00575C1A" w:rsidRDefault="00575C1A" w:rsidP="009D0E20">
      <w:pPr>
        <w:spacing w:after="0" w:line="240" w:lineRule="auto"/>
        <w:jc w:val="both"/>
        <w:rPr>
          <w:rFonts w:ascii="Times New Roman" w:hAnsi="Times New Roman"/>
          <w:bCs/>
          <w:lang w:eastAsia="hr-HR"/>
        </w:rPr>
      </w:pPr>
    </w:p>
    <w:p w14:paraId="7D33050F" w14:textId="77777777" w:rsidR="00575C1A" w:rsidRDefault="00575C1A" w:rsidP="009D0E20">
      <w:pPr>
        <w:spacing w:after="0" w:line="240" w:lineRule="auto"/>
        <w:jc w:val="both"/>
        <w:rPr>
          <w:rFonts w:ascii="Times New Roman" w:hAnsi="Times New Roman"/>
          <w:bCs/>
          <w:lang w:eastAsia="hr-HR"/>
        </w:rPr>
      </w:pPr>
    </w:p>
    <w:p w14:paraId="7D330510" w14:textId="77777777" w:rsidR="00575C1A" w:rsidRDefault="00575C1A" w:rsidP="009D0E20">
      <w:pPr>
        <w:spacing w:after="0" w:line="240" w:lineRule="auto"/>
        <w:jc w:val="both"/>
        <w:rPr>
          <w:rFonts w:ascii="Times New Roman" w:hAnsi="Times New Roman"/>
          <w:bCs/>
          <w:lang w:eastAsia="hr-HR"/>
        </w:rPr>
      </w:pPr>
    </w:p>
    <w:p w14:paraId="7D330511" w14:textId="77777777" w:rsidR="00575C1A" w:rsidRDefault="00575C1A" w:rsidP="009D0E20">
      <w:pPr>
        <w:spacing w:after="0" w:line="240" w:lineRule="auto"/>
        <w:jc w:val="both"/>
        <w:rPr>
          <w:rFonts w:ascii="Times New Roman" w:hAnsi="Times New Roman"/>
          <w:bCs/>
          <w:lang w:eastAsia="hr-HR"/>
        </w:rPr>
      </w:pPr>
    </w:p>
    <w:p w14:paraId="7D330512" w14:textId="77777777" w:rsidR="00575C1A" w:rsidRDefault="00575C1A" w:rsidP="009D0E20">
      <w:pPr>
        <w:spacing w:after="0" w:line="240" w:lineRule="auto"/>
        <w:jc w:val="both"/>
        <w:rPr>
          <w:rFonts w:ascii="Times New Roman" w:hAnsi="Times New Roman"/>
          <w:bCs/>
          <w:lang w:eastAsia="hr-HR"/>
        </w:rPr>
      </w:pPr>
    </w:p>
    <w:p w14:paraId="7D330513" w14:textId="77777777" w:rsidR="00575C1A" w:rsidRDefault="00575C1A" w:rsidP="009D0E20">
      <w:pPr>
        <w:spacing w:after="0" w:line="240" w:lineRule="auto"/>
        <w:jc w:val="both"/>
        <w:rPr>
          <w:rFonts w:ascii="Times New Roman" w:hAnsi="Times New Roman"/>
          <w:bCs/>
          <w:lang w:eastAsia="hr-HR"/>
        </w:rPr>
      </w:pPr>
    </w:p>
    <w:p w14:paraId="7D330514" w14:textId="77777777" w:rsidR="00575C1A" w:rsidRDefault="00575C1A" w:rsidP="009D0E20">
      <w:pPr>
        <w:spacing w:after="0" w:line="240" w:lineRule="auto"/>
        <w:jc w:val="both"/>
        <w:rPr>
          <w:rFonts w:ascii="Times New Roman" w:hAnsi="Times New Roman"/>
          <w:bCs/>
          <w:lang w:eastAsia="hr-HR"/>
        </w:rPr>
      </w:pPr>
    </w:p>
    <w:p w14:paraId="7D330515" w14:textId="77777777" w:rsidR="00575C1A" w:rsidRDefault="00575C1A" w:rsidP="009D0E20">
      <w:pPr>
        <w:spacing w:after="0" w:line="240" w:lineRule="auto"/>
        <w:jc w:val="both"/>
        <w:rPr>
          <w:rFonts w:ascii="Times New Roman" w:hAnsi="Times New Roman"/>
          <w:bCs/>
          <w:lang w:eastAsia="hr-HR"/>
        </w:rPr>
      </w:pPr>
    </w:p>
    <w:p w14:paraId="7D330516" w14:textId="77777777" w:rsidR="00575C1A" w:rsidRDefault="00575C1A" w:rsidP="009D0E20">
      <w:pPr>
        <w:spacing w:after="0" w:line="240" w:lineRule="auto"/>
        <w:jc w:val="both"/>
        <w:rPr>
          <w:rFonts w:ascii="Times New Roman" w:hAnsi="Times New Roman"/>
          <w:bCs/>
          <w:lang w:eastAsia="hr-HR"/>
        </w:rPr>
      </w:pPr>
    </w:p>
    <w:p w14:paraId="7D330517" w14:textId="77777777" w:rsidR="00575C1A" w:rsidRDefault="00575C1A" w:rsidP="009D0E20">
      <w:pPr>
        <w:spacing w:after="0" w:line="240" w:lineRule="auto"/>
        <w:jc w:val="both"/>
        <w:rPr>
          <w:rFonts w:ascii="Times New Roman" w:hAnsi="Times New Roman"/>
          <w:bCs/>
          <w:lang w:eastAsia="hr-HR"/>
        </w:rPr>
      </w:pPr>
    </w:p>
    <w:p w14:paraId="7D330518" w14:textId="77777777" w:rsidR="00575C1A" w:rsidRDefault="00575C1A" w:rsidP="009D0E20">
      <w:pPr>
        <w:spacing w:after="0" w:line="240" w:lineRule="auto"/>
        <w:jc w:val="both"/>
        <w:rPr>
          <w:rFonts w:ascii="Times New Roman" w:hAnsi="Times New Roman"/>
          <w:bCs/>
          <w:lang w:eastAsia="hr-HR"/>
        </w:rPr>
      </w:pPr>
    </w:p>
    <w:p w14:paraId="7D330519" w14:textId="77777777" w:rsidR="00575C1A" w:rsidRDefault="00575C1A" w:rsidP="009D0E20">
      <w:pPr>
        <w:spacing w:after="0" w:line="240" w:lineRule="auto"/>
        <w:jc w:val="both"/>
        <w:rPr>
          <w:rFonts w:ascii="Times New Roman" w:hAnsi="Times New Roman"/>
          <w:bCs/>
          <w:lang w:eastAsia="hr-HR"/>
        </w:rPr>
      </w:pPr>
    </w:p>
    <w:p w14:paraId="7D33051A" w14:textId="77777777" w:rsidR="006409A4" w:rsidRDefault="006409A4" w:rsidP="009D0E20">
      <w:pPr>
        <w:spacing w:after="0" w:line="240" w:lineRule="auto"/>
        <w:jc w:val="both"/>
        <w:rPr>
          <w:rFonts w:ascii="Times New Roman" w:hAnsi="Times New Roman"/>
          <w:bCs/>
          <w:lang w:eastAsia="hr-HR"/>
        </w:rPr>
      </w:pPr>
    </w:p>
    <w:p w14:paraId="7D33051B" w14:textId="77777777" w:rsidR="006409A4" w:rsidRDefault="006409A4" w:rsidP="009D0E20">
      <w:pPr>
        <w:spacing w:after="0" w:line="240" w:lineRule="auto"/>
        <w:jc w:val="both"/>
        <w:rPr>
          <w:rFonts w:ascii="Times New Roman" w:hAnsi="Times New Roman"/>
          <w:bCs/>
          <w:lang w:eastAsia="hr-HR"/>
        </w:rPr>
      </w:pPr>
    </w:p>
    <w:p w14:paraId="7D33051C" w14:textId="77777777" w:rsidR="006409A4" w:rsidRDefault="006409A4" w:rsidP="009D0E20">
      <w:pPr>
        <w:spacing w:after="0" w:line="240" w:lineRule="auto"/>
        <w:jc w:val="both"/>
        <w:rPr>
          <w:rFonts w:ascii="Times New Roman" w:hAnsi="Times New Roman"/>
          <w:bCs/>
          <w:lang w:eastAsia="hr-HR"/>
        </w:rPr>
      </w:pPr>
    </w:p>
    <w:p w14:paraId="7D33051D" w14:textId="77777777" w:rsidR="003D082A" w:rsidRDefault="003D082A" w:rsidP="009D0E20">
      <w:pPr>
        <w:spacing w:after="0" w:line="240" w:lineRule="auto"/>
        <w:jc w:val="both"/>
        <w:rPr>
          <w:rFonts w:ascii="Times New Roman" w:hAnsi="Times New Roman"/>
          <w:bCs/>
          <w:lang w:eastAsia="hr-HR"/>
        </w:rPr>
      </w:pPr>
    </w:p>
    <w:p w14:paraId="7D33051E" w14:textId="77777777" w:rsidR="00911414" w:rsidRPr="003C396B" w:rsidRDefault="00911414" w:rsidP="001128CA">
      <w:pPr>
        <w:pStyle w:val="Heading1"/>
        <w:rPr>
          <w:rStyle w:val="IntenseReference"/>
          <w:rFonts w:ascii="Times New Roman" w:hAnsi="Times New Roman" w:cs="Times New Roman"/>
          <w:b/>
          <w:color w:val="auto"/>
          <w:sz w:val="24"/>
          <w:szCs w:val="24"/>
        </w:rPr>
      </w:pPr>
      <w:bookmarkStart w:id="3" w:name="_Toc526419491"/>
      <w:r w:rsidRPr="003C396B">
        <w:rPr>
          <w:rStyle w:val="IntenseReference"/>
          <w:rFonts w:ascii="Times New Roman" w:hAnsi="Times New Roman" w:cs="Times New Roman"/>
          <w:b/>
          <w:color w:val="auto"/>
          <w:sz w:val="24"/>
          <w:szCs w:val="24"/>
        </w:rPr>
        <w:t>3. ANALIZA PRIHODA OD NAKNADA ZA KONCESIJE</w:t>
      </w:r>
      <w:bookmarkEnd w:id="3"/>
      <w:r w:rsidRPr="003C396B">
        <w:rPr>
          <w:rStyle w:val="IntenseReference"/>
          <w:rFonts w:ascii="Times New Roman" w:hAnsi="Times New Roman" w:cs="Times New Roman"/>
          <w:b/>
          <w:color w:val="auto"/>
          <w:sz w:val="24"/>
          <w:szCs w:val="24"/>
        </w:rPr>
        <w:t xml:space="preserve"> </w:t>
      </w:r>
    </w:p>
    <w:p w14:paraId="7D33051F" w14:textId="77777777" w:rsidR="00911414" w:rsidRPr="00235530" w:rsidRDefault="00911414" w:rsidP="00982466">
      <w:pPr>
        <w:spacing w:after="0" w:line="240" w:lineRule="auto"/>
        <w:jc w:val="both"/>
        <w:rPr>
          <w:rFonts w:ascii="Times New Roman" w:hAnsi="Times New Roman"/>
          <w:b/>
          <w:bCs/>
          <w:lang w:eastAsia="hr-HR"/>
        </w:rPr>
      </w:pPr>
    </w:p>
    <w:p w14:paraId="7D330520" w14:textId="77777777" w:rsidR="00AF1895" w:rsidRPr="00235530" w:rsidRDefault="00911414" w:rsidP="00982466">
      <w:pPr>
        <w:spacing w:after="0" w:line="240" w:lineRule="auto"/>
        <w:jc w:val="both"/>
        <w:rPr>
          <w:rFonts w:ascii="Times New Roman" w:hAnsi="Times New Roman"/>
          <w:b/>
          <w:bCs/>
          <w:lang w:eastAsia="hr-HR"/>
        </w:rPr>
      </w:pPr>
      <w:r w:rsidRPr="00235530">
        <w:rPr>
          <w:rFonts w:ascii="Times New Roman" w:hAnsi="Times New Roman"/>
          <w:bCs/>
          <w:lang w:eastAsia="hr-HR"/>
        </w:rPr>
        <w:t xml:space="preserve">Analiza prihoda od naknada za koncesije u okviru ovog izvješća definira samu narav koncesijskih naknada, omjere raspodjele pri čemu se u samom prikazu i analitičkom pregledu daju podaci o prihodima od naknada za koncesije koje su dio državnog proračuna, ali i onih koji </w:t>
      </w:r>
      <w:r w:rsidRPr="00235530">
        <w:rPr>
          <w:rFonts w:ascii="Times New Roman" w:hAnsi="Times New Roman"/>
          <w:bCs/>
          <w:lang w:eastAsia="hr-HR"/>
        </w:rPr>
        <w:lastRenderedPageBreak/>
        <w:t>se odnose na prihode JLPRS-a.</w:t>
      </w:r>
      <w:r w:rsidR="00614A59" w:rsidRPr="00235530">
        <w:rPr>
          <w:rFonts w:ascii="Times New Roman" w:hAnsi="Times New Roman"/>
          <w:bCs/>
          <w:lang w:eastAsia="hr-HR"/>
        </w:rPr>
        <w:t xml:space="preserve"> </w:t>
      </w:r>
      <w:r w:rsidR="00FA19BA" w:rsidRPr="00235530">
        <w:rPr>
          <w:rFonts w:ascii="Times New Roman" w:hAnsi="Times New Roman"/>
          <w:bCs/>
          <w:lang w:eastAsia="hr-HR"/>
        </w:rPr>
        <w:t xml:space="preserve">U ovom Izvješću </w:t>
      </w:r>
      <w:r w:rsidR="00614A59" w:rsidRPr="00235530">
        <w:rPr>
          <w:rFonts w:ascii="Times New Roman" w:hAnsi="Times New Roman"/>
          <w:bCs/>
          <w:lang w:eastAsia="hr-HR"/>
        </w:rPr>
        <w:t xml:space="preserve">za potrebe analize koncesijskih prihoda </w:t>
      </w:r>
      <w:r w:rsidR="00FA19BA" w:rsidRPr="00235530">
        <w:rPr>
          <w:rFonts w:ascii="Times New Roman" w:hAnsi="Times New Roman"/>
          <w:bCs/>
          <w:lang w:eastAsia="hr-HR"/>
        </w:rPr>
        <w:t xml:space="preserve">korišteni su podaci </w:t>
      </w:r>
      <w:r w:rsidR="00316C81" w:rsidRPr="00235530">
        <w:rPr>
          <w:rFonts w:ascii="Times New Roman" w:hAnsi="Times New Roman"/>
          <w:bCs/>
          <w:lang w:eastAsia="hr-HR"/>
        </w:rPr>
        <w:t>FINA-e</w:t>
      </w:r>
      <w:r w:rsidR="0064092B" w:rsidRPr="00235530">
        <w:rPr>
          <w:rFonts w:ascii="Times New Roman" w:hAnsi="Times New Roman"/>
          <w:bCs/>
          <w:lang w:eastAsia="hr-HR"/>
        </w:rPr>
        <w:t>.</w:t>
      </w:r>
    </w:p>
    <w:p w14:paraId="7D330521" w14:textId="77777777" w:rsidR="0064092B" w:rsidRPr="00235530" w:rsidRDefault="0064092B" w:rsidP="00995044">
      <w:pPr>
        <w:autoSpaceDE w:val="0"/>
        <w:autoSpaceDN w:val="0"/>
        <w:adjustRightInd w:val="0"/>
        <w:spacing w:after="0" w:line="240" w:lineRule="auto"/>
        <w:jc w:val="both"/>
        <w:rPr>
          <w:rFonts w:ascii="Times New Roman" w:hAnsi="Times New Roman"/>
          <w:b/>
          <w:bCs/>
          <w:lang w:eastAsia="hr-HR"/>
        </w:rPr>
      </w:pPr>
    </w:p>
    <w:p w14:paraId="7D330522" w14:textId="77777777" w:rsidR="00911414" w:rsidRPr="00235530" w:rsidRDefault="00911414" w:rsidP="00995044">
      <w:pPr>
        <w:autoSpaceDE w:val="0"/>
        <w:autoSpaceDN w:val="0"/>
        <w:adjustRightInd w:val="0"/>
        <w:spacing w:after="0" w:line="240" w:lineRule="auto"/>
        <w:jc w:val="both"/>
        <w:rPr>
          <w:rFonts w:ascii="Times New Roman" w:hAnsi="Times New Roman"/>
          <w:b/>
          <w:bCs/>
          <w:lang w:eastAsia="hr-HR"/>
        </w:rPr>
      </w:pPr>
      <w:r w:rsidRPr="00235530">
        <w:rPr>
          <w:rFonts w:ascii="Times New Roman" w:hAnsi="Times New Roman"/>
          <w:b/>
          <w:bCs/>
          <w:lang w:eastAsia="hr-HR"/>
        </w:rPr>
        <w:t>3.1. Naknada za koncesiju – obuhvat i metodološko obrazloženje</w:t>
      </w:r>
    </w:p>
    <w:p w14:paraId="7D330523" w14:textId="77777777" w:rsidR="00911414" w:rsidRPr="00235530" w:rsidRDefault="00911414" w:rsidP="00995044">
      <w:pPr>
        <w:autoSpaceDE w:val="0"/>
        <w:autoSpaceDN w:val="0"/>
        <w:adjustRightInd w:val="0"/>
        <w:spacing w:after="0" w:line="240" w:lineRule="auto"/>
        <w:jc w:val="both"/>
        <w:rPr>
          <w:rFonts w:ascii="Times New Roman" w:hAnsi="Times New Roman"/>
          <w:b/>
          <w:bCs/>
          <w:lang w:eastAsia="hr-HR"/>
        </w:rPr>
      </w:pPr>
    </w:p>
    <w:p w14:paraId="7D330524"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r w:rsidRPr="00235530">
        <w:rPr>
          <w:rFonts w:ascii="Times New Roman" w:hAnsi="Times New Roman"/>
          <w:lang w:eastAsia="hr-HR"/>
        </w:rPr>
        <w:t>Prihodi od koncesija u najvećem dijelu su prihodi državnog proračuna, no ovisno o pojedinoj vrsti koncesije prihodi se u određenim omjerima dijele između državnog proračuna ili proračuna JLPRS i/ili su izravni prihodi JLPRS koji se ne dijele s državom. Podjela prihoda uređena je podzakonskim aktima koji se referiraju na pojedinu vrstu koncesije, odnosno zakonski akt koji istu regulira.</w:t>
      </w:r>
    </w:p>
    <w:p w14:paraId="7D330525"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p>
    <w:p w14:paraId="7D330526"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r w:rsidRPr="00235530">
        <w:rPr>
          <w:rFonts w:ascii="Times New Roman" w:hAnsi="Times New Roman"/>
          <w:lang w:eastAsia="hr-HR"/>
        </w:rPr>
        <w:t xml:space="preserve">Prihodi od koncesija uređeni su odredbama Zakona o koncesijama, a prema kojemu naknada za koncesiju jest naknada koju plaća koncesionar </w:t>
      </w:r>
      <w:r w:rsidR="00EB403B" w:rsidRPr="00235530">
        <w:rPr>
          <w:rFonts w:ascii="Times New Roman" w:hAnsi="Times New Roman"/>
          <w:lang w:eastAsia="hr-HR"/>
        </w:rPr>
        <w:t xml:space="preserve">na temelju ugovora o koncesiji. </w:t>
      </w:r>
      <w:r w:rsidRPr="00235530">
        <w:rPr>
          <w:rFonts w:ascii="Times New Roman" w:hAnsi="Times New Roman"/>
          <w:lang w:eastAsia="hr-HR"/>
        </w:rPr>
        <w:t>Koncesionar je dužan plaćati novčanu naknadu za koncesiju u iznosu i na način kako je to uređeno ugovorom o koncesiji, osim ako plaćanje naknade za koncesiju nije ekonomski opravdano</w:t>
      </w:r>
      <w:r w:rsidR="001542C0" w:rsidRPr="00235530">
        <w:rPr>
          <w:rFonts w:ascii="Times New Roman" w:hAnsi="Times New Roman"/>
          <w:lang w:eastAsia="hr-HR"/>
        </w:rPr>
        <w:t xml:space="preserve"> što je zasebno uređeno kako krovnim tako i posebnim/sektorskim zakonom koji uređuje područja određenih djelatnosti koje su dane u koncesiju</w:t>
      </w:r>
      <w:r w:rsidRPr="00235530">
        <w:rPr>
          <w:rFonts w:ascii="Times New Roman" w:hAnsi="Times New Roman"/>
          <w:lang w:eastAsia="hr-HR"/>
        </w:rPr>
        <w:t>.</w:t>
      </w:r>
    </w:p>
    <w:p w14:paraId="7D330527" w14:textId="77777777" w:rsidR="00FA19BA" w:rsidRPr="00235530" w:rsidRDefault="00FA19BA" w:rsidP="00995044">
      <w:pPr>
        <w:autoSpaceDE w:val="0"/>
        <w:autoSpaceDN w:val="0"/>
        <w:adjustRightInd w:val="0"/>
        <w:spacing w:after="0" w:line="240" w:lineRule="auto"/>
        <w:ind w:right="72"/>
        <w:jc w:val="both"/>
        <w:rPr>
          <w:rFonts w:ascii="Times New Roman" w:hAnsi="Times New Roman"/>
          <w:lang w:eastAsia="hr-HR"/>
        </w:rPr>
      </w:pPr>
    </w:p>
    <w:p w14:paraId="7D330528"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r w:rsidRPr="00235530">
        <w:rPr>
          <w:rFonts w:ascii="Times New Roman" w:hAnsi="Times New Roman"/>
          <w:lang w:eastAsia="hr-HR"/>
        </w:rPr>
        <w:t>Novčana naknada za koncesiju može biti ugovorena kao stalan, odnosno jednak iznos i/ili kao varijabilni iznos, ovisno o posebnostima pojedine vrste koncesije što se definira u okviru sektorskih zakona.</w:t>
      </w:r>
    </w:p>
    <w:p w14:paraId="7D330529"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p>
    <w:p w14:paraId="7D33052A"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r w:rsidRPr="00235530">
        <w:rPr>
          <w:rFonts w:ascii="Times New Roman" w:hAnsi="Times New Roman"/>
          <w:lang w:eastAsia="hr-HR"/>
        </w:rPr>
        <w:t xml:space="preserve">U okviru krovnog zakona o koncesijama određeno je da se visina naknade za koncesiju određuje ovisno o vrsti djelatnosti, roku trajanja koncesije, poslovnom riziku i očekivanoj dobiti, opremljenosti i površini općeg, odnosno javnog dobra. </w:t>
      </w:r>
    </w:p>
    <w:p w14:paraId="7D33052B"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p>
    <w:p w14:paraId="7D33052C"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r w:rsidRPr="00235530">
        <w:rPr>
          <w:rFonts w:ascii="Times New Roman" w:hAnsi="Times New Roman"/>
          <w:lang w:eastAsia="hr-HR"/>
        </w:rPr>
        <w:t>Ugovorom o koncesiji, u skladu s dokumentacijom za nadmetanje, može se odrediti mogućnost promjene visine naknade u određenom vremenskom razdoblju, a što ovisi o pojedinom obliku koncesioniranja, odnosno području na kojem se koncesija daje. Promjene koje su u tim slučajevima moguće ovise o samom davatelju koncesije, ali i odredbama koje su sastavni dio ugovora o koncesiji.</w:t>
      </w:r>
    </w:p>
    <w:p w14:paraId="7D33052D" w14:textId="77777777" w:rsidR="00911414" w:rsidRPr="00235530" w:rsidRDefault="00911414" w:rsidP="00995044">
      <w:pPr>
        <w:autoSpaceDE w:val="0"/>
        <w:autoSpaceDN w:val="0"/>
        <w:adjustRightInd w:val="0"/>
        <w:spacing w:after="0" w:line="240" w:lineRule="auto"/>
        <w:ind w:right="72"/>
        <w:jc w:val="both"/>
        <w:rPr>
          <w:rFonts w:ascii="Times New Roman" w:hAnsi="Times New Roman"/>
          <w:lang w:eastAsia="hr-HR"/>
        </w:rPr>
      </w:pPr>
    </w:p>
    <w:p w14:paraId="7D33052E" w14:textId="77777777" w:rsidR="00911414" w:rsidRPr="00235530" w:rsidRDefault="00911414" w:rsidP="00995044">
      <w:pPr>
        <w:autoSpaceDE w:val="0"/>
        <w:autoSpaceDN w:val="0"/>
        <w:adjustRightInd w:val="0"/>
        <w:spacing w:after="0" w:line="240" w:lineRule="auto"/>
        <w:ind w:right="72"/>
        <w:jc w:val="both"/>
        <w:rPr>
          <w:rFonts w:ascii="Times New Roman" w:hAnsi="Times New Roman"/>
          <w:bCs/>
          <w:lang w:eastAsia="hr-HR"/>
        </w:rPr>
      </w:pPr>
      <w:r w:rsidRPr="00235530">
        <w:rPr>
          <w:rFonts w:ascii="Times New Roman" w:hAnsi="Times New Roman"/>
          <w:lang w:eastAsia="hr-HR"/>
        </w:rPr>
        <w:t xml:space="preserve">Kao što je prethodno navedeno naknade za koncesiju prihod su državnog proračuna i/ili proračuna JLPRS u omjeru koji je određen posebnim propisima kojima se uređuje pojedina vrsta koncesije. Naplata koncesijskih naknada jasno je definirana u okviru odredbi Zakona o koncesijama pri čemu je obuhvaćen i način naplate dospjelih, a nepodmirenih koncesijskih naknada. </w:t>
      </w:r>
    </w:p>
    <w:p w14:paraId="7D33052F" w14:textId="77777777" w:rsidR="00911414" w:rsidRPr="00235530" w:rsidRDefault="00911414" w:rsidP="00995044">
      <w:pPr>
        <w:autoSpaceDE w:val="0"/>
        <w:autoSpaceDN w:val="0"/>
        <w:adjustRightInd w:val="0"/>
        <w:spacing w:after="0" w:line="240" w:lineRule="auto"/>
        <w:jc w:val="both"/>
        <w:rPr>
          <w:rFonts w:ascii="Times New Roman" w:hAnsi="Times New Roman"/>
          <w:lang w:eastAsia="hr-HR"/>
        </w:rPr>
      </w:pPr>
    </w:p>
    <w:p w14:paraId="7D330530" w14:textId="77777777" w:rsidR="00911414" w:rsidRPr="00235530" w:rsidRDefault="00911414" w:rsidP="007E72E6">
      <w:pPr>
        <w:autoSpaceDE w:val="0"/>
        <w:autoSpaceDN w:val="0"/>
        <w:adjustRightInd w:val="0"/>
        <w:spacing w:after="0" w:line="240" w:lineRule="auto"/>
        <w:jc w:val="both"/>
        <w:rPr>
          <w:rFonts w:ascii="Times New Roman" w:hAnsi="Times New Roman"/>
          <w:lang w:eastAsia="hr-HR"/>
        </w:rPr>
      </w:pPr>
      <w:r w:rsidRPr="00235530">
        <w:rPr>
          <w:rFonts w:ascii="Times New Roman" w:hAnsi="Times New Roman"/>
          <w:lang w:eastAsia="hr-HR"/>
        </w:rPr>
        <w:t>S gledišta proračunskog računovodstva, prihodi od naknada za koncesije u državnom se proračunu evidentiraju kao proračunski prihod od nefinancijske imovine. Prihodi od naknada za koncesije čine najveći udio u prihodima od nefinancijske imovine, te uvelike utječu na kretanje ove stavke u državnom proračunu.</w:t>
      </w:r>
    </w:p>
    <w:p w14:paraId="7D330531" w14:textId="77777777" w:rsidR="00A90AEA" w:rsidRPr="00235530" w:rsidRDefault="00A90AEA" w:rsidP="007E72E6">
      <w:pPr>
        <w:autoSpaceDE w:val="0"/>
        <w:autoSpaceDN w:val="0"/>
        <w:adjustRightInd w:val="0"/>
        <w:spacing w:after="0" w:line="240" w:lineRule="auto"/>
        <w:jc w:val="both"/>
        <w:rPr>
          <w:rFonts w:ascii="Times New Roman" w:hAnsi="Times New Roman"/>
          <w:b/>
          <w:lang w:eastAsia="hr-HR"/>
        </w:rPr>
      </w:pPr>
    </w:p>
    <w:p w14:paraId="7D330532" w14:textId="77777777" w:rsidR="001A785D" w:rsidRPr="00235530" w:rsidRDefault="006970F9" w:rsidP="007E72E6">
      <w:pPr>
        <w:autoSpaceDE w:val="0"/>
        <w:autoSpaceDN w:val="0"/>
        <w:adjustRightInd w:val="0"/>
        <w:spacing w:after="0" w:line="240" w:lineRule="auto"/>
        <w:jc w:val="both"/>
        <w:rPr>
          <w:rFonts w:ascii="Times New Roman" w:hAnsi="Times New Roman"/>
          <w:lang w:eastAsia="hr-HR"/>
        </w:rPr>
      </w:pPr>
      <w:r w:rsidRPr="00235530">
        <w:rPr>
          <w:rFonts w:ascii="Times New Roman" w:hAnsi="Times New Roman"/>
          <w:lang w:eastAsia="hr-HR"/>
        </w:rPr>
        <w:t xml:space="preserve">Vezano uz prikaz podataka o prihodima od naknada za koncesiju važno je napomenuti kako Ministarstvo financija u prikazu prihoda naknade za koncesiju </w:t>
      </w:r>
      <w:r w:rsidR="00E42093">
        <w:rPr>
          <w:rFonts w:ascii="Times New Roman" w:hAnsi="Times New Roman"/>
          <w:lang w:eastAsia="hr-HR"/>
        </w:rPr>
        <w:t xml:space="preserve">primjenjuje, odnosno prikazuje </w:t>
      </w:r>
      <w:r w:rsidRPr="00235530">
        <w:rPr>
          <w:rFonts w:ascii="Times New Roman" w:hAnsi="Times New Roman"/>
          <w:lang w:eastAsia="hr-HR"/>
        </w:rPr>
        <w:t xml:space="preserve"> </w:t>
      </w:r>
      <w:r w:rsidR="00E42093">
        <w:rPr>
          <w:rFonts w:ascii="Times New Roman" w:hAnsi="Times New Roman"/>
          <w:lang w:eastAsia="hr-HR"/>
        </w:rPr>
        <w:t xml:space="preserve">ukupne prihode od naknade za koncesiju, te je </w:t>
      </w:r>
      <w:r w:rsidR="001A785D" w:rsidRPr="00235530">
        <w:rPr>
          <w:rFonts w:ascii="Times New Roman" w:hAnsi="Times New Roman"/>
          <w:lang w:eastAsia="hr-HR"/>
        </w:rPr>
        <w:t>cilj dati jasniji prikaz</w:t>
      </w:r>
      <w:r w:rsidR="00E42093">
        <w:rPr>
          <w:rFonts w:ascii="Times New Roman" w:hAnsi="Times New Roman"/>
          <w:lang w:eastAsia="hr-HR"/>
        </w:rPr>
        <w:t xml:space="preserve"> ukupnih naknada za koncesije, a </w:t>
      </w:r>
      <w:r w:rsidR="001A785D" w:rsidRPr="00235530">
        <w:rPr>
          <w:rFonts w:ascii="Times New Roman" w:hAnsi="Times New Roman"/>
          <w:lang w:eastAsia="hr-HR"/>
        </w:rPr>
        <w:t xml:space="preserve">uzimajući u obzir sve proračune (državni, županijski, gradski/općinski) u koje se uplaćuju odnosno raspoređuju prihodi od naknada za koncesiju. </w:t>
      </w:r>
    </w:p>
    <w:p w14:paraId="7D330533" w14:textId="77777777" w:rsidR="00345293" w:rsidRPr="00235530" w:rsidRDefault="00345293" w:rsidP="007E72E6">
      <w:pPr>
        <w:autoSpaceDE w:val="0"/>
        <w:autoSpaceDN w:val="0"/>
        <w:adjustRightInd w:val="0"/>
        <w:spacing w:after="0" w:line="240" w:lineRule="auto"/>
        <w:jc w:val="both"/>
        <w:rPr>
          <w:rFonts w:ascii="Times New Roman" w:hAnsi="Times New Roman"/>
          <w:lang w:eastAsia="hr-HR"/>
        </w:rPr>
      </w:pPr>
    </w:p>
    <w:p w14:paraId="7D330534" w14:textId="77777777" w:rsidR="00ED11EF" w:rsidRPr="00235530" w:rsidRDefault="004B5ED5" w:rsidP="007E72E6">
      <w:pPr>
        <w:autoSpaceDE w:val="0"/>
        <w:autoSpaceDN w:val="0"/>
        <w:adjustRightInd w:val="0"/>
        <w:spacing w:after="0" w:line="240" w:lineRule="auto"/>
        <w:jc w:val="both"/>
        <w:rPr>
          <w:rFonts w:ascii="Times New Roman" w:hAnsi="Times New Roman"/>
          <w:lang w:eastAsia="hr-HR"/>
        </w:rPr>
      </w:pPr>
      <w:r w:rsidRPr="00235530">
        <w:rPr>
          <w:rFonts w:ascii="Times New Roman" w:hAnsi="Times New Roman"/>
          <w:lang w:eastAsia="hr-HR"/>
        </w:rPr>
        <w:lastRenderedPageBreak/>
        <w:t xml:space="preserve">U Tablici 2. prikazani su ukupni </w:t>
      </w:r>
      <w:r w:rsidR="00ED11EF" w:rsidRPr="00235530">
        <w:rPr>
          <w:rFonts w:ascii="Times New Roman" w:hAnsi="Times New Roman"/>
          <w:lang w:eastAsia="hr-HR"/>
        </w:rPr>
        <w:t>prihodi od</w:t>
      </w:r>
      <w:r w:rsidRPr="00235530">
        <w:rPr>
          <w:rFonts w:ascii="Times New Roman" w:hAnsi="Times New Roman"/>
          <w:lang w:eastAsia="hr-HR"/>
        </w:rPr>
        <w:t xml:space="preserve"> naknad</w:t>
      </w:r>
      <w:r w:rsidR="00ED11EF" w:rsidRPr="00235530">
        <w:rPr>
          <w:rFonts w:ascii="Times New Roman" w:hAnsi="Times New Roman"/>
          <w:lang w:eastAsia="hr-HR"/>
        </w:rPr>
        <w:t>a</w:t>
      </w:r>
      <w:r w:rsidRPr="00235530">
        <w:rPr>
          <w:rFonts w:ascii="Times New Roman" w:hAnsi="Times New Roman"/>
          <w:lang w:eastAsia="hr-HR"/>
        </w:rPr>
        <w:t xml:space="preserve"> </w:t>
      </w:r>
      <w:r w:rsidR="00ED11EF" w:rsidRPr="00235530">
        <w:rPr>
          <w:rFonts w:ascii="Times New Roman" w:hAnsi="Times New Roman"/>
          <w:lang w:eastAsia="hr-HR"/>
        </w:rPr>
        <w:t>za koncesije, a što se odnosi na ukupne prihode državnog proračuna, ukupne zajedničke prihode državnog, gradskih/općinskih proračuna, ukupne prihode državnog, županijskih, gradskih/općinskih proračuna, ukupne zajedničke prihode državnog i županijskog proračuna, te ukupne direktne prihode JLPRS-a.</w:t>
      </w:r>
    </w:p>
    <w:p w14:paraId="7D330535" w14:textId="77777777" w:rsidR="00ED11EF" w:rsidRPr="00235530" w:rsidRDefault="00ED11EF" w:rsidP="007E72E6">
      <w:pPr>
        <w:autoSpaceDE w:val="0"/>
        <w:autoSpaceDN w:val="0"/>
        <w:adjustRightInd w:val="0"/>
        <w:spacing w:after="0" w:line="240" w:lineRule="auto"/>
        <w:jc w:val="both"/>
        <w:rPr>
          <w:rFonts w:ascii="Times New Roman" w:hAnsi="Times New Roman"/>
          <w:lang w:eastAsia="hr-HR"/>
        </w:rPr>
      </w:pPr>
    </w:p>
    <w:p w14:paraId="7D330536" w14:textId="77777777" w:rsidR="00FA19BA" w:rsidRPr="00235530" w:rsidRDefault="00ED11EF" w:rsidP="007E72E6">
      <w:pPr>
        <w:autoSpaceDE w:val="0"/>
        <w:autoSpaceDN w:val="0"/>
        <w:adjustRightInd w:val="0"/>
        <w:spacing w:after="0" w:line="240" w:lineRule="auto"/>
        <w:jc w:val="both"/>
        <w:rPr>
          <w:rFonts w:ascii="Times New Roman" w:hAnsi="Times New Roman"/>
          <w:lang w:eastAsia="hr-HR"/>
        </w:rPr>
      </w:pPr>
      <w:r w:rsidRPr="00235530">
        <w:rPr>
          <w:rFonts w:ascii="Times New Roman" w:hAnsi="Times New Roman"/>
          <w:lang w:eastAsia="hr-HR"/>
        </w:rPr>
        <w:t>Tablica 3. daje prikaz ukupnih prihoda od naknade za koncesiju po vrstama koncesije, a što znači da su za svaku vrstu proračuna navedene vrste koncesiju koje ulaze u taj proračun a prikazani su u ukupnom iznosu.</w:t>
      </w:r>
    </w:p>
    <w:p w14:paraId="7D330537" w14:textId="77777777" w:rsidR="00ED11EF" w:rsidRPr="00235530" w:rsidRDefault="00ED11EF" w:rsidP="007E72E6">
      <w:pPr>
        <w:autoSpaceDE w:val="0"/>
        <w:autoSpaceDN w:val="0"/>
        <w:adjustRightInd w:val="0"/>
        <w:spacing w:after="0" w:line="240" w:lineRule="auto"/>
        <w:jc w:val="both"/>
        <w:rPr>
          <w:rFonts w:ascii="Times New Roman" w:hAnsi="Times New Roman"/>
          <w:lang w:eastAsia="hr-HR"/>
        </w:rPr>
      </w:pPr>
    </w:p>
    <w:p w14:paraId="7D330538" w14:textId="77777777" w:rsidR="00ED11EF" w:rsidRPr="00235530" w:rsidRDefault="00ED11EF" w:rsidP="00ED11EF">
      <w:pPr>
        <w:autoSpaceDE w:val="0"/>
        <w:autoSpaceDN w:val="0"/>
        <w:adjustRightInd w:val="0"/>
        <w:spacing w:after="0" w:line="240" w:lineRule="auto"/>
        <w:jc w:val="both"/>
        <w:rPr>
          <w:rFonts w:ascii="Times New Roman" w:hAnsi="Times New Roman"/>
          <w:lang w:eastAsia="hr-HR"/>
        </w:rPr>
      </w:pPr>
      <w:r w:rsidRPr="00235530">
        <w:rPr>
          <w:rFonts w:ascii="Times New Roman" w:hAnsi="Times New Roman"/>
          <w:lang w:eastAsia="hr-HR"/>
        </w:rPr>
        <w:t>Kako bi se do kraja analitički prikazali prihod</w:t>
      </w:r>
      <w:r w:rsidR="00E42093">
        <w:rPr>
          <w:rFonts w:ascii="Times New Roman" w:hAnsi="Times New Roman"/>
          <w:lang w:eastAsia="hr-HR"/>
        </w:rPr>
        <w:t>i</w:t>
      </w:r>
      <w:r w:rsidRPr="00235530">
        <w:rPr>
          <w:rFonts w:ascii="Times New Roman" w:hAnsi="Times New Roman"/>
          <w:lang w:eastAsia="hr-HR"/>
        </w:rPr>
        <w:t xml:space="preserve"> pojedinih proračuna</w:t>
      </w:r>
      <w:r w:rsidR="00E42093">
        <w:rPr>
          <w:rFonts w:ascii="Times New Roman" w:hAnsi="Times New Roman"/>
          <w:lang w:eastAsia="hr-HR"/>
        </w:rPr>
        <w:t>,</w:t>
      </w:r>
      <w:r w:rsidRPr="00235530">
        <w:rPr>
          <w:rFonts w:ascii="Times New Roman" w:hAnsi="Times New Roman"/>
          <w:lang w:eastAsia="hr-HR"/>
        </w:rPr>
        <w:t xml:space="preserve"> </w:t>
      </w:r>
      <w:r w:rsidR="00614A59" w:rsidRPr="00235530">
        <w:rPr>
          <w:rFonts w:ascii="Times New Roman" w:hAnsi="Times New Roman"/>
          <w:lang w:eastAsia="hr-HR"/>
        </w:rPr>
        <w:t xml:space="preserve">u </w:t>
      </w:r>
      <w:r w:rsidRPr="00235530">
        <w:rPr>
          <w:rFonts w:ascii="Times New Roman" w:hAnsi="Times New Roman"/>
          <w:lang w:eastAsia="hr-HR"/>
        </w:rPr>
        <w:t>Tablic</w:t>
      </w:r>
      <w:r w:rsidR="00614A59" w:rsidRPr="00235530">
        <w:rPr>
          <w:rFonts w:ascii="Times New Roman" w:hAnsi="Times New Roman"/>
          <w:lang w:eastAsia="hr-HR"/>
        </w:rPr>
        <w:t>i</w:t>
      </w:r>
      <w:r w:rsidRPr="00235530">
        <w:rPr>
          <w:rFonts w:ascii="Times New Roman" w:hAnsi="Times New Roman"/>
          <w:lang w:eastAsia="hr-HR"/>
        </w:rPr>
        <w:t xml:space="preserve"> 4. daje </w:t>
      </w:r>
      <w:r w:rsidR="00E42093">
        <w:rPr>
          <w:rFonts w:ascii="Times New Roman" w:hAnsi="Times New Roman"/>
          <w:lang w:eastAsia="hr-HR"/>
        </w:rPr>
        <w:t xml:space="preserve">se </w:t>
      </w:r>
      <w:r w:rsidRPr="00235530">
        <w:rPr>
          <w:rFonts w:ascii="Times New Roman" w:hAnsi="Times New Roman"/>
          <w:lang w:eastAsia="hr-HR"/>
        </w:rPr>
        <w:t>prikaz prihoda Državnog proračuna (izravni i s osnova zajedničkih prihoda) od naknade za koncesiju po vrstama koncesije, a Tablica 5. prikazuje  prihode JLPRS-a  od naknade za koncesiju s osnova zajedničkih prihoda po vrstama koncesije.</w:t>
      </w:r>
    </w:p>
    <w:p w14:paraId="7D330539" w14:textId="77777777" w:rsidR="00AF1895" w:rsidRPr="00235530" w:rsidRDefault="00AF1895" w:rsidP="007E72E6">
      <w:pPr>
        <w:autoSpaceDE w:val="0"/>
        <w:autoSpaceDN w:val="0"/>
        <w:adjustRightInd w:val="0"/>
        <w:spacing w:after="0" w:line="240" w:lineRule="auto"/>
        <w:jc w:val="both"/>
        <w:rPr>
          <w:rFonts w:ascii="Times New Roman" w:hAnsi="Times New Roman"/>
          <w:b/>
          <w:lang w:eastAsia="hr-HR"/>
        </w:rPr>
      </w:pPr>
    </w:p>
    <w:p w14:paraId="7D33053A" w14:textId="77777777" w:rsidR="002E0510" w:rsidRPr="00235530" w:rsidRDefault="002E0510" w:rsidP="002E0510">
      <w:pPr>
        <w:autoSpaceDE w:val="0"/>
        <w:autoSpaceDN w:val="0"/>
        <w:adjustRightInd w:val="0"/>
        <w:spacing w:after="0" w:line="240" w:lineRule="auto"/>
        <w:jc w:val="both"/>
        <w:rPr>
          <w:rFonts w:ascii="Times New Roman" w:hAnsi="Times New Roman"/>
          <w:b/>
          <w:bCs/>
          <w:lang w:eastAsia="hr-HR"/>
        </w:rPr>
      </w:pPr>
      <w:r w:rsidRPr="00235530">
        <w:rPr>
          <w:rFonts w:ascii="Times New Roman" w:hAnsi="Times New Roman"/>
          <w:b/>
          <w:bCs/>
          <w:lang w:eastAsia="hr-HR"/>
        </w:rPr>
        <w:t>3.2. Naknada za koncesiju – prikaz ukupnih prihoda i prihoda državnog proračuna</w:t>
      </w:r>
    </w:p>
    <w:p w14:paraId="7D33053B" w14:textId="77777777" w:rsidR="001A785D" w:rsidRPr="00235530" w:rsidRDefault="001A785D" w:rsidP="007E72E6">
      <w:pPr>
        <w:autoSpaceDE w:val="0"/>
        <w:autoSpaceDN w:val="0"/>
        <w:adjustRightInd w:val="0"/>
        <w:spacing w:after="0" w:line="240" w:lineRule="auto"/>
        <w:jc w:val="both"/>
        <w:rPr>
          <w:rFonts w:ascii="Times New Roman" w:hAnsi="Times New Roman"/>
          <w:b/>
          <w:lang w:eastAsia="hr-HR"/>
        </w:rPr>
      </w:pPr>
    </w:p>
    <w:p w14:paraId="7D33053C" w14:textId="77777777" w:rsidR="002E0510" w:rsidRPr="00235530" w:rsidRDefault="002E0510" w:rsidP="002E0510">
      <w:pPr>
        <w:autoSpaceDE w:val="0"/>
        <w:autoSpaceDN w:val="0"/>
        <w:adjustRightInd w:val="0"/>
        <w:spacing w:after="0" w:line="240" w:lineRule="auto"/>
        <w:jc w:val="both"/>
        <w:rPr>
          <w:rFonts w:ascii="Times New Roman" w:hAnsi="Times New Roman"/>
        </w:rPr>
      </w:pPr>
      <w:r w:rsidRPr="00235530">
        <w:rPr>
          <w:rFonts w:ascii="Times New Roman" w:hAnsi="Times New Roman"/>
        </w:rPr>
        <w:t>Ukupne prihode naknada za koncesiju čine izravni prihodi državnog proračuna, zajednički prihodi državnog, gradskih i općinskih proračuna, zajednički prihodi državnog, županijskih, gradskih i općinskih proračuna, zajednički prihod državnog i županijskog proračunu i direktni prihodi JLPRS-a.</w:t>
      </w:r>
    </w:p>
    <w:p w14:paraId="7D33053D" w14:textId="77777777" w:rsidR="00BF44AE" w:rsidRPr="00235530" w:rsidRDefault="00BF44AE" w:rsidP="002E0510">
      <w:pPr>
        <w:spacing w:after="0" w:line="240" w:lineRule="auto"/>
        <w:jc w:val="both"/>
        <w:rPr>
          <w:rFonts w:ascii="Times New Roman" w:hAnsi="Times New Roman"/>
          <w:b/>
        </w:rPr>
      </w:pPr>
    </w:p>
    <w:p w14:paraId="7D33053E" w14:textId="77777777" w:rsidR="002E0510" w:rsidRPr="00235530" w:rsidRDefault="002E0510" w:rsidP="002E0510">
      <w:pPr>
        <w:spacing w:after="0" w:line="240" w:lineRule="auto"/>
        <w:jc w:val="both"/>
        <w:rPr>
          <w:rFonts w:ascii="Times New Roman" w:hAnsi="Times New Roman"/>
          <w:b/>
        </w:rPr>
      </w:pPr>
      <w:r w:rsidRPr="00235530">
        <w:rPr>
          <w:rFonts w:ascii="Times New Roman" w:hAnsi="Times New Roman"/>
          <w:b/>
        </w:rPr>
        <w:t>Ukupni prihodi naknada od koncesije ostvareni u</w:t>
      </w:r>
      <w:r w:rsidR="009E22D3" w:rsidRPr="00235530">
        <w:rPr>
          <w:rFonts w:ascii="Times New Roman" w:hAnsi="Times New Roman"/>
          <w:b/>
        </w:rPr>
        <w:t xml:space="preserve"> 201</w:t>
      </w:r>
      <w:r w:rsidR="00575C1A">
        <w:rPr>
          <w:rFonts w:ascii="Times New Roman" w:hAnsi="Times New Roman"/>
          <w:b/>
        </w:rPr>
        <w:t>9</w:t>
      </w:r>
      <w:r w:rsidR="009E22D3" w:rsidRPr="00235530">
        <w:rPr>
          <w:rFonts w:ascii="Times New Roman" w:hAnsi="Times New Roman"/>
          <w:b/>
        </w:rPr>
        <w:t>. godini iznose 1.</w:t>
      </w:r>
      <w:r w:rsidR="00575C1A">
        <w:rPr>
          <w:rFonts w:ascii="Times New Roman" w:hAnsi="Times New Roman"/>
          <w:b/>
        </w:rPr>
        <w:t>067,9</w:t>
      </w:r>
      <w:r w:rsidR="009E22D3" w:rsidRPr="00235530">
        <w:rPr>
          <w:rFonts w:ascii="Times New Roman" w:hAnsi="Times New Roman"/>
          <w:b/>
        </w:rPr>
        <w:t xml:space="preserve"> mln kuna</w:t>
      </w:r>
      <w:r w:rsidRPr="00235530">
        <w:rPr>
          <w:rFonts w:ascii="Times New Roman" w:hAnsi="Times New Roman"/>
          <w:b/>
        </w:rPr>
        <w:t xml:space="preserve">, dok su u </w:t>
      </w:r>
      <w:r w:rsidR="009E22D3" w:rsidRPr="00235530">
        <w:rPr>
          <w:rFonts w:ascii="Times New Roman" w:hAnsi="Times New Roman"/>
          <w:b/>
        </w:rPr>
        <w:t>201</w:t>
      </w:r>
      <w:r w:rsidR="00575C1A">
        <w:rPr>
          <w:rFonts w:ascii="Times New Roman" w:hAnsi="Times New Roman"/>
          <w:b/>
        </w:rPr>
        <w:t>8</w:t>
      </w:r>
      <w:r w:rsidR="009E22D3" w:rsidRPr="00235530">
        <w:rPr>
          <w:rFonts w:ascii="Times New Roman" w:hAnsi="Times New Roman"/>
          <w:b/>
        </w:rPr>
        <w:t>. godini iznosili 1.</w:t>
      </w:r>
      <w:r w:rsidR="00575C1A">
        <w:rPr>
          <w:rFonts w:ascii="Times New Roman" w:hAnsi="Times New Roman"/>
          <w:b/>
        </w:rPr>
        <w:t>32</w:t>
      </w:r>
      <w:r w:rsidR="003A15F5">
        <w:rPr>
          <w:rFonts w:ascii="Times New Roman" w:hAnsi="Times New Roman"/>
          <w:b/>
        </w:rPr>
        <w:t>2</w:t>
      </w:r>
      <w:r w:rsidR="00575C1A">
        <w:rPr>
          <w:rFonts w:ascii="Times New Roman" w:hAnsi="Times New Roman"/>
          <w:b/>
        </w:rPr>
        <w:t>,4</w:t>
      </w:r>
      <w:r w:rsidR="009E22D3" w:rsidRPr="00235530">
        <w:rPr>
          <w:rFonts w:ascii="Times New Roman" w:hAnsi="Times New Roman"/>
          <w:b/>
        </w:rPr>
        <w:t xml:space="preserve"> mln kuna</w:t>
      </w:r>
      <w:r w:rsidRPr="00235530">
        <w:rPr>
          <w:rFonts w:ascii="Times New Roman" w:hAnsi="Times New Roman"/>
          <w:b/>
        </w:rPr>
        <w:t xml:space="preserve">.  </w:t>
      </w:r>
    </w:p>
    <w:p w14:paraId="7D33053F" w14:textId="77777777" w:rsidR="003D082A" w:rsidRPr="00235530" w:rsidRDefault="003D082A" w:rsidP="007E72E6">
      <w:pPr>
        <w:autoSpaceDE w:val="0"/>
        <w:autoSpaceDN w:val="0"/>
        <w:adjustRightInd w:val="0"/>
        <w:spacing w:after="0" w:line="240" w:lineRule="auto"/>
        <w:jc w:val="both"/>
        <w:rPr>
          <w:rFonts w:ascii="Times New Roman" w:hAnsi="Times New Roman"/>
          <w:lang w:eastAsia="hr-HR"/>
        </w:rPr>
      </w:pPr>
    </w:p>
    <w:p w14:paraId="7D330540" w14:textId="77777777" w:rsidR="000625E3" w:rsidRPr="00235530" w:rsidRDefault="00A90AEA" w:rsidP="007E72E6">
      <w:pPr>
        <w:autoSpaceDE w:val="0"/>
        <w:autoSpaceDN w:val="0"/>
        <w:adjustRightInd w:val="0"/>
        <w:spacing w:after="0" w:line="240" w:lineRule="auto"/>
        <w:jc w:val="both"/>
        <w:rPr>
          <w:rFonts w:ascii="Times New Roman" w:hAnsi="Times New Roman"/>
          <w:b/>
          <w:sz w:val="20"/>
          <w:szCs w:val="20"/>
          <w:lang w:eastAsia="hr-HR"/>
        </w:rPr>
      </w:pPr>
      <w:r w:rsidRPr="00235530">
        <w:rPr>
          <w:rFonts w:ascii="Times New Roman" w:hAnsi="Times New Roman"/>
          <w:b/>
          <w:sz w:val="20"/>
          <w:szCs w:val="20"/>
          <w:lang w:eastAsia="hr-HR"/>
        </w:rPr>
        <w:t xml:space="preserve">Tablica </w:t>
      </w:r>
      <w:r w:rsidR="00E17C10" w:rsidRPr="00235530">
        <w:rPr>
          <w:rFonts w:ascii="Times New Roman" w:hAnsi="Times New Roman"/>
          <w:b/>
          <w:sz w:val="20"/>
          <w:szCs w:val="20"/>
          <w:lang w:eastAsia="hr-HR"/>
        </w:rPr>
        <w:t>2</w:t>
      </w:r>
      <w:r w:rsidRPr="00235530">
        <w:rPr>
          <w:rFonts w:ascii="Times New Roman" w:hAnsi="Times New Roman"/>
          <w:b/>
          <w:sz w:val="20"/>
          <w:szCs w:val="20"/>
          <w:lang w:eastAsia="hr-HR"/>
        </w:rPr>
        <w:t xml:space="preserve">. </w:t>
      </w:r>
      <w:r w:rsidRPr="00235530">
        <w:rPr>
          <w:rFonts w:ascii="Times New Roman" w:hAnsi="Times New Roman"/>
          <w:sz w:val="20"/>
          <w:szCs w:val="20"/>
          <w:lang w:eastAsia="hr-HR"/>
        </w:rPr>
        <w:t>Prikaz iznos ukupnih prihoda od naknade za koncesiju</w:t>
      </w:r>
    </w:p>
    <w:p w14:paraId="7D330541" w14:textId="77777777" w:rsidR="000625E3" w:rsidRPr="00235530" w:rsidRDefault="00BF0CD7" w:rsidP="007E72E6">
      <w:pPr>
        <w:autoSpaceDE w:val="0"/>
        <w:autoSpaceDN w:val="0"/>
        <w:adjustRightInd w:val="0"/>
        <w:spacing w:after="0" w:line="240" w:lineRule="auto"/>
        <w:jc w:val="both"/>
        <w:rPr>
          <w:rFonts w:ascii="Times New Roman" w:hAnsi="Times New Roman"/>
          <w:lang w:eastAsia="hr-HR"/>
        </w:rPr>
      </w:pPr>
      <w:r w:rsidRPr="00BF0CD7">
        <w:rPr>
          <w:noProof/>
          <w:lang w:eastAsia="hr-HR"/>
        </w:rPr>
        <w:drawing>
          <wp:inline distT="0" distB="0" distL="0" distR="0" wp14:anchorId="7D3306D8" wp14:editId="7D3306D9">
            <wp:extent cx="5759450" cy="1871742"/>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871742"/>
                    </a:xfrm>
                    <a:prstGeom prst="rect">
                      <a:avLst/>
                    </a:prstGeom>
                    <a:noFill/>
                    <a:ln>
                      <a:noFill/>
                    </a:ln>
                  </pic:spPr>
                </pic:pic>
              </a:graphicData>
            </a:graphic>
          </wp:inline>
        </w:drawing>
      </w:r>
    </w:p>
    <w:p w14:paraId="7D330542" w14:textId="77777777" w:rsidR="003852DD" w:rsidRPr="00235530" w:rsidRDefault="003852DD" w:rsidP="003852DD">
      <w:pPr>
        <w:spacing w:after="0" w:line="240" w:lineRule="auto"/>
        <w:jc w:val="both"/>
        <w:rPr>
          <w:rFonts w:ascii="Times New Roman" w:hAnsi="Times New Roman"/>
          <w:sz w:val="18"/>
          <w:szCs w:val="18"/>
        </w:rPr>
      </w:pPr>
      <w:r w:rsidRPr="00235530">
        <w:rPr>
          <w:rFonts w:ascii="Times New Roman" w:hAnsi="Times New Roman"/>
          <w:b/>
          <w:sz w:val="18"/>
          <w:szCs w:val="18"/>
        </w:rPr>
        <w:t>Izvor:</w:t>
      </w:r>
      <w:r w:rsidR="00454753" w:rsidRPr="00235530">
        <w:rPr>
          <w:rFonts w:ascii="Times New Roman" w:hAnsi="Times New Roman"/>
          <w:b/>
          <w:sz w:val="18"/>
          <w:szCs w:val="18"/>
        </w:rPr>
        <w:t xml:space="preserve"> </w:t>
      </w:r>
      <w:r w:rsidRPr="00235530">
        <w:rPr>
          <w:rFonts w:ascii="Times New Roman" w:hAnsi="Times New Roman"/>
          <w:sz w:val="18"/>
          <w:szCs w:val="18"/>
        </w:rPr>
        <w:t>FINA, Državna riznica</w:t>
      </w:r>
    </w:p>
    <w:p w14:paraId="7D330543" w14:textId="77777777" w:rsidR="00401B42" w:rsidRPr="00235530" w:rsidRDefault="00401B42" w:rsidP="007E72E6">
      <w:pPr>
        <w:autoSpaceDE w:val="0"/>
        <w:autoSpaceDN w:val="0"/>
        <w:adjustRightInd w:val="0"/>
        <w:spacing w:after="0" w:line="240" w:lineRule="auto"/>
        <w:jc w:val="both"/>
        <w:rPr>
          <w:rFonts w:ascii="Times New Roman" w:hAnsi="Times New Roman"/>
          <w:lang w:eastAsia="hr-HR"/>
        </w:rPr>
      </w:pPr>
    </w:p>
    <w:p w14:paraId="7D330544" w14:textId="77777777" w:rsidR="00B10BD2" w:rsidRPr="0075773E" w:rsidRDefault="00B10BD2" w:rsidP="00B10BD2">
      <w:pPr>
        <w:autoSpaceDE w:val="0"/>
        <w:autoSpaceDN w:val="0"/>
        <w:adjustRightInd w:val="0"/>
        <w:spacing w:after="0" w:line="240" w:lineRule="auto"/>
        <w:jc w:val="both"/>
        <w:rPr>
          <w:rFonts w:ascii="Times New Roman" w:hAnsi="Times New Roman"/>
          <w:b/>
          <w:lang w:eastAsia="hr-HR"/>
        </w:rPr>
      </w:pPr>
      <w:r w:rsidRPr="0075773E">
        <w:rPr>
          <w:rFonts w:ascii="Times New Roman" w:hAnsi="Times New Roman"/>
          <w:b/>
          <w:lang w:eastAsia="hr-HR"/>
        </w:rPr>
        <w:t xml:space="preserve">Ističemo kako podaci prihoda od naknada za koncesiju obuhvaćaju sve uplaćene naknade za koncesiju </w:t>
      </w:r>
      <w:r w:rsidR="000F6DDF">
        <w:rPr>
          <w:rFonts w:ascii="Times New Roman" w:hAnsi="Times New Roman"/>
          <w:b/>
          <w:lang w:eastAsia="hr-HR"/>
        </w:rPr>
        <w:t>tijekom 2019. godine</w:t>
      </w:r>
      <w:r w:rsidR="00136A6F" w:rsidRPr="0075773E">
        <w:rPr>
          <w:rFonts w:ascii="Times New Roman" w:hAnsi="Times New Roman"/>
          <w:b/>
          <w:lang w:eastAsia="hr-HR"/>
        </w:rPr>
        <w:t>,</w:t>
      </w:r>
      <w:r w:rsidRPr="0075773E">
        <w:rPr>
          <w:rFonts w:ascii="Times New Roman" w:hAnsi="Times New Roman"/>
          <w:b/>
          <w:lang w:eastAsia="hr-HR"/>
        </w:rPr>
        <w:t xml:space="preserve"> bez obzira na koje zaduženje se iste odnose. Ovo se posebice odnosi na zaduženja koja dospijevaju početkom ili koncem kalendarske godine, a iste se uplate ili par dana prije pa ulaze u prikaz podataka prethodne godine, ili se uplate par dana kasnije pa ulaze u prikaz podataka za iduću godine. </w:t>
      </w:r>
    </w:p>
    <w:p w14:paraId="7D330545" w14:textId="77777777" w:rsidR="00BF44AE" w:rsidRPr="00BF44AE" w:rsidRDefault="00BF44AE" w:rsidP="00BF44AE">
      <w:pPr>
        <w:autoSpaceDE w:val="0"/>
        <w:autoSpaceDN w:val="0"/>
        <w:adjustRightInd w:val="0"/>
        <w:spacing w:after="0" w:line="240" w:lineRule="auto"/>
        <w:jc w:val="both"/>
        <w:rPr>
          <w:rFonts w:ascii="Times New Roman" w:hAnsi="Times New Roman"/>
          <w:b/>
          <w:lang w:eastAsia="hr-HR"/>
        </w:rPr>
      </w:pPr>
    </w:p>
    <w:p w14:paraId="7D330546" w14:textId="77777777" w:rsidR="00BF44AE" w:rsidRDefault="00BF44AE" w:rsidP="00BF44AE">
      <w:pPr>
        <w:autoSpaceDE w:val="0"/>
        <w:autoSpaceDN w:val="0"/>
        <w:adjustRightInd w:val="0"/>
        <w:spacing w:after="0" w:line="240" w:lineRule="auto"/>
        <w:jc w:val="both"/>
        <w:rPr>
          <w:rFonts w:ascii="Times New Roman" w:hAnsi="Times New Roman"/>
          <w:lang w:eastAsia="hr-HR"/>
        </w:rPr>
      </w:pPr>
      <w:r w:rsidRPr="00BF44AE">
        <w:rPr>
          <w:rFonts w:ascii="Times New Roman" w:hAnsi="Times New Roman"/>
          <w:lang w:eastAsia="hr-HR"/>
        </w:rPr>
        <w:t>Na smanjenje ukupnih prihoda najviše je utjecalo:</w:t>
      </w:r>
    </w:p>
    <w:p w14:paraId="7D330547"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smanjenje prihoda</w:t>
      </w:r>
      <w:r w:rsidR="00E128DC">
        <w:rPr>
          <w:rFonts w:ascii="Times New Roman" w:hAnsi="Times New Roman"/>
          <w:lang w:eastAsia="hr-HR"/>
        </w:rPr>
        <w:t xml:space="preserve"> od naknada za telekomunikacije;</w:t>
      </w:r>
    </w:p>
    <w:p w14:paraId="7D330548"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smanjenje prihoda od naknada za eksploataciju plina u epikontinentalnom pojasu</w:t>
      </w:r>
      <w:r w:rsidR="00E128DC">
        <w:rPr>
          <w:rFonts w:ascii="Times New Roman" w:hAnsi="Times New Roman"/>
          <w:lang w:eastAsia="hr-HR"/>
        </w:rPr>
        <w:t>;</w:t>
      </w:r>
      <w:r w:rsidRPr="00BF44AE">
        <w:rPr>
          <w:rFonts w:ascii="Times New Roman" w:hAnsi="Times New Roman"/>
          <w:lang w:eastAsia="hr-HR"/>
        </w:rPr>
        <w:t xml:space="preserve">  </w:t>
      </w:r>
    </w:p>
    <w:p w14:paraId="7D330549"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datumi plaćanja pojedinih vrsta koncesija</w:t>
      </w:r>
      <w:r w:rsidR="00E128DC">
        <w:rPr>
          <w:rFonts w:ascii="Times New Roman" w:hAnsi="Times New Roman"/>
          <w:lang w:eastAsia="hr-HR"/>
        </w:rPr>
        <w:t>.</w:t>
      </w:r>
    </w:p>
    <w:p w14:paraId="7D33054A" w14:textId="77777777" w:rsidR="00BF44AE" w:rsidRDefault="00BF44AE" w:rsidP="00B10BD2">
      <w:pPr>
        <w:autoSpaceDE w:val="0"/>
        <w:autoSpaceDN w:val="0"/>
        <w:adjustRightInd w:val="0"/>
        <w:spacing w:after="0" w:line="240" w:lineRule="auto"/>
        <w:jc w:val="both"/>
        <w:rPr>
          <w:rFonts w:ascii="Times New Roman" w:hAnsi="Times New Roman"/>
          <w:b/>
          <w:lang w:eastAsia="hr-HR"/>
        </w:rPr>
      </w:pPr>
    </w:p>
    <w:p w14:paraId="7D33054B" w14:textId="77777777" w:rsidR="00BF44AE" w:rsidRPr="00BF44AE" w:rsidRDefault="00BF44AE" w:rsidP="00BF44AE">
      <w:pPr>
        <w:autoSpaceDE w:val="0"/>
        <w:autoSpaceDN w:val="0"/>
        <w:adjustRightInd w:val="0"/>
        <w:spacing w:after="0" w:line="240" w:lineRule="auto"/>
        <w:jc w:val="both"/>
        <w:rPr>
          <w:rFonts w:ascii="Times New Roman" w:hAnsi="Times New Roman"/>
          <w:lang w:eastAsia="hr-HR"/>
        </w:rPr>
      </w:pPr>
      <w:r w:rsidRPr="00BF44AE">
        <w:rPr>
          <w:rFonts w:ascii="Times New Roman" w:hAnsi="Times New Roman"/>
          <w:lang w:eastAsia="hr-HR"/>
        </w:rPr>
        <w:t xml:space="preserve">Smanjenje prihoda od naknada za telekomunikacije - već nekoliko godina unazad donose se podzakonski akti kojima se olakšava poslovanje poduzetnicima, a među kojima su npr.  ukinute naknada operatorima javne mreže pokretnih komunikacija  u </w:t>
      </w:r>
      <w:r>
        <w:rPr>
          <w:rFonts w:ascii="Times New Roman" w:hAnsi="Times New Roman"/>
          <w:lang w:eastAsia="hr-HR"/>
        </w:rPr>
        <w:t xml:space="preserve">pretplatničkom sustavu </w:t>
      </w:r>
      <w:r>
        <w:rPr>
          <w:rFonts w:ascii="Times New Roman" w:hAnsi="Times New Roman"/>
          <w:lang w:eastAsia="hr-HR"/>
        </w:rPr>
        <w:lastRenderedPageBreak/>
        <w:t>plaćanja.</w:t>
      </w:r>
      <w:r w:rsidRPr="00BF44AE">
        <w:rPr>
          <w:rFonts w:ascii="Times New Roman" w:hAnsi="Times New Roman"/>
          <w:lang w:eastAsia="hr-HR"/>
        </w:rPr>
        <w:t xml:space="preserve"> </w:t>
      </w:r>
      <w:r w:rsidR="000F6DDF">
        <w:rPr>
          <w:rFonts w:ascii="Times New Roman" w:hAnsi="Times New Roman"/>
          <w:lang w:eastAsia="hr-HR"/>
        </w:rPr>
        <w:t xml:space="preserve">Tako su </w:t>
      </w:r>
      <w:r w:rsidR="000F6DDF">
        <w:rPr>
          <w:rFonts w:ascii="Times New Roman" w:hAnsi="Times New Roman"/>
          <w:b/>
        </w:rPr>
        <w:t>ovi prihodi</w:t>
      </w:r>
      <w:r w:rsidR="000F6DDF" w:rsidRPr="00E128DC">
        <w:rPr>
          <w:rFonts w:ascii="Times New Roman" w:hAnsi="Times New Roman"/>
          <w:b/>
        </w:rPr>
        <w:t xml:space="preserve"> </w:t>
      </w:r>
      <w:r w:rsidR="00F33232">
        <w:rPr>
          <w:rFonts w:ascii="Times New Roman" w:hAnsi="Times New Roman"/>
          <w:b/>
        </w:rPr>
        <w:t>u protekle četiri godine</w:t>
      </w:r>
      <w:r w:rsidR="00F33232" w:rsidRPr="00E128DC">
        <w:rPr>
          <w:rFonts w:ascii="Times New Roman" w:hAnsi="Times New Roman"/>
          <w:b/>
        </w:rPr>
        <w:t xml:space="preserve"> </w:t>
      </w:r>
      <w:r w:rsidR="00F33232">
        <w:rPr>
          <w:rFonts w:ascii="Times New Roman" w:hAnsi="Times New Roman"/>
          <w:b/>
        </w:rPr>
        <w:t xml:space="preserve">ukupno smanjeni </w:t>
      </w:r>
      <w:r w:rsidR="000F6DDF" w:rsidRPr="00E128DC">
        <w:rPr>
          <w:rFonts w:ascii="Times New Roman" w:hAnsi="Times New Roman"/>
          <w:b/>
        </w:rPr>
        <w:t xml:space="preserve">za cca </w:t>
      </w:r>
      <w:r w:rsidR="00A06246">
        <w:rPr>
          <w:rFonts w:ascii="Times New Roman" w:hAnsi="Times New Roman"/>
          <w:b/>
        </w:rPr>
        <w:t>710,6</w:t>
      </w:r>
      <w:r w:rsidR="000F6DDF">
        <w:rPr>
          <w:rFonts w:ascii="Times New Roman" w:hAnsi="Times New Roman"/>
          <w:b/>
        </w:rPr>
        <w:t xml:space="preserve"> mln kuna</w:t>
      </w:r>
      <w:r w:rsidR="00F33232">
        <w:rPr>
          <w:rFonts w:ascii="Times New Roman" w:hAnsi="Times New Roman"/>
          <w:b/>
        </w:rPr>
        <w:t xml:space="preserve">. </w:t>
      </w:r>
    </w:p>
    <w:p w14:paraId="7D33054C" w14:textId="77777777" w:rsidR="00BF44AE" w:rsidRPr="00BF44AE" w:rsidRDefault="00BF44AE" w:rsidP="00BF44AE">
      <w:pPr>
        <w:autoSpaceDE w:val="0"/>
        <w:autoSpaceDN w:val="0"/>
        <w:adjustRightInd w:val="0"/>
        <w:spacing w:after="0" w:line="240" w:lineRule="auto"/>
        <w:jc w:val="both"/>
        <w:rPr>
          <w:rFonts w:ascii="Times New Roman" w:hAnsi="Times New Roman"/>
          <w:lang w:eastAsia="hr-HR"/>
        </w:rPr>
      </w:pPr>
    </w:p>
    <w:p w14:paraId="7D33054D" w14:textId="77777777" w:rsidR="00BF44AE" w:rsidRPr="00BF44AE" w:rsidRDefault="00BF44AE" w:rsidP="00BF44AE">
      <w:pPr>
        <w:autoSpaceDE w:val="0"/>
        <w:autoSpaceDN w:val="0"/>
        <w:adjustRightInd w:val="0"/>
        <w:spacing w:after="0" w:line="240" w:lineRule="auto"/>
        <w:jc w:val="both"/>
        <w:rPr>
          <w:rFonts w:ascii="Times New Roman" w:hAnsi="Times New Roman"/>
          <w:lang w:eastAsia="hr-HR"/>
        </w:rPr>
      </w:pPr>
      <w:r w:rsidRPr="00BF44AE">
        <w:rPr>
          <w:rFonts w:ascii="Times New Roman" w:hAnsi="Times New Roman"/>
          <w:lang w:eastAsia="hr-HR"/>
        </w:rPr>
        <w:t>Konkretno, radi se o sljedećim izmjenama:</w:t>
      </w:r>
    </w:p>
    <w:p w14:paraId="7D33054E" w14:textId="77777777" w:rsidR="00E128DC"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Pravilnik o izmjenama pravilnika o plaćanju naknada za pravo uporabe adresa, brojeva i radiofrekvencijskog spektra (NN 126/17)</w:t>
      </w:r>
      <w:r>
        <w:rPr>
          <w:rFonts w:ascii="Times New Roman" w:hAnsi="Times New Roman"/>
          <w:lang w:eastAsia="hr-HR"/>
        </w:rPr>
        <w:t>;</w:t>
      </w:r>
    </w:p>
    <w:p w14:paraId="7D33054F"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   Članak 2. – smanjenje faktora s 60 na 40 (koeficijent formule za godišnju naknadu za pravo uporabe RF spektra);</w:t>
      </w:r>
    </w:p>
    <w:p w14:paraId="7D330550"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Pravilnik  o izmjenama i dopuni pravilnika o plaćanju naknada za pravo uporabe adresa, brojeva i radiofrekvencijskog spektra (NN 55/18)</w:t>
      </w:r>
    </w:p>
    <w:p w14:paraId="7D330551" w14:textId="77777777" w:rsidR="00BF44AE" w:rsidRPr="00BF44AE" w:rsidRDefault="00E128DC" w:rsidP="00BF44AE">
      <w:pPr>
        <w:autoSpaceDE w:val="0"/>
        <w:autoSpaceDN w:val="0"/>
        <w:adjustRightInd w:val="0"/>
        <w:spacing w:after="0" w:line="240" w:lineRule="auto"/>
        <w:ind w:left="1134" w:hanging="283"/>
        <w:jc w:val="both"/>
        <w:rPr>
          <w:rFonts w:ascii="Times New Roman" w:hAnsi="Times New Roman"/>
          <w:lang w:eastAsia="hr-HR"/>
        </w:rPr>
      </w:pPr>
      <w:r>
        <w:rPr>
          <w:rFonts w:ascii="Times New Roman" w:hAnsi="Times New Roman"/>
          <w:lang w:eastAsia="hr-HR"/>
        </w:rPr>
        <w:t>-</w:t>
      </w:r>
      <w:r>
        <w:rPr>
          <w:rFonts w:ascii="Times New Roman" w:hAnsi="Times New Roman"/>
          <w:lang w:eastAsia="hr-HR"/>
        </w:rPr>
        <w:tab/>
      </w:r>
      <w:r w:rsidR="00BF44AE" w:rsidRPr="00BF44AE">
        <w:rPr>
          <w:rFonts w:ascii="Times New Roman" w:hAnsi="Times New Roman"/>
          <w:lang w:eastAsia="hr-HR"/>
        </w:rPr>
        <w:t>Članak 3. – ukidanje naknade za radiofrekvencijski spektar 1900-1920 MHz;</w:t>
      </w:r>
    </w:p>
    <w:p w14:paraId="7D330552"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Članak 6. – preplata uplaćene naknade;</w:t>
      </w:r>
    </w:p>
    <w:p w14:paraId="7D330553"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Pravilnik o izmjenama pravilnika o plaćanju naknada za pravo uporabe adresa, brojeva i radiofrekvencijskog spektra (NN 99/18)</w:t>
      </w:r>
    </w:p>
    <w:p w14:paraId="7D330554"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Članak 1. o   Članak 1. – smanjenje faktora s 40 na 20 (koeficijent formule za godišnju naknadu za pravo uporabe RF spektra);</w:t>
      </w:r>
    </w:p>
    <w:p w14:paraId="7D330555"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Pr>
          <w:rFonts w:ascii="Times New Roman" w:hAnsi="Times New Roman"/>
          <w:lang w:eastAsia="hr-HR"/>
        </w:rPr>
        <w:t>-</w:t>
      </w:r>
      <w:r>
        <w:rPr>
          <w:rFonts w:ascii="Times New Roman" w:hAnsi="Times New Roman"/>
          <w:lang w:eastAsia="hr-HR"/>
        </w:rPr>
        <w:tab/>
      </w:r>
      <w:r w:rsidRPr="00BF44AE">
        <w:rPr>
          <w:rFonts w:ascii="Times New Roman" w:hAnsi="Times New Roman"/>
          <w:lang w:eastAsia="hr-HR"/>
        </w:rPr>
        <w:t>Članci 2. i 3. – preplata uplaćene naknade.</w:t>
      </w:r>
    </w:p>
    <w:p w14:paraId="7D330556" w14:textId="77777777" w:rsidR="00BF44AE" w:rsidRPr="00BF44AE" w:rsidRDefault="00BF44AE" w:rsidP="00BF44AE">
      <w:pPr>
        <w:autoSpaceDE w:val="0"/>
        <w:autoSpaceDN w:val="0"/>
        <w:adjustRightInd w:val="0"/>
        <w:spacing w:after="0" w:line="240" w:lineRule="auto"/>
        <w:jc w:val="both"/>
        <w:rPr>
          <w:rFonts w:ascii="Times New Roman" w:hAnsi="Times New Roman"/>
          <w:lang w:eastAsia="hr-HR"/>
        </w:rPr>
      </w:pPr>
    </w:p>
    <w:p w14:paraId="7D330557" w14:textId="77777777" w:rsidR="004D0258" w:rsidRPr="00BF44AE" w:rsidRDefault="00BF44AE" w:rsidP="00BF44AE">
      <w:pPr>
        <w:autoSpaceDE w:val="0"/>
        <w:autoSpaceDN w:val="0"/>
        <w:adjustRightInd w:val="0"/>
        <w:spacing w:after="0" w:line="240" w:lineRule="auto"/>
        <w:jc w:val="both"/>
        <w:rPr>
          <w:rFonts w:ascii="Times New Roman" w:hAnsi="Times New Roman"/>
          <w:lang w:eastAsia="hr-HR"/>
        </w:rPr>
      </w:pPr>
      <w:r w:rsidRPr="00BF44AE">
        <w:rPr>
          <w:rFonts w:ascii="Times New Roman" w:hAnsi="Times New Roman"/>
          <w:lang w:eastAsia="hr-HR"/>
        </w:rPr>
        <w:t xml:space="preserve">Razlog navedenih izmjena </w:t>
      </w:r>
      <w:r w:rsidR="004D0258">
        <w:rPr>
          <w:rFonts w:ascii="Times New Roman" w:hAnsi="Times New Roman"/>
          <w:lang w:eastAsia="hr-HR"/>
        </w:rPr>
        <w:t>od strane resornog ministarstva (</w:t>
      </w:r>
      <w:r w:rsidR="000F6DDF">
        <w:rPr>
          <w:rFonts w:ascii="Times New Roman" w:hAnsi="Times New Roman"/>
          <w:lang w:eastAsia="hr-HR"/>
        </w:rPr>
        <w:t>Ministarstva mora, prometa i infrastrukture</w:t>
      </w:r>
      <w:r w:rsidR="004D0258">
        <w:rPr>
          <w:rFonts w:ascii="Times New Roman" w:hAnsi="Times New Roman"/>
          <w:lang w:eastAsia="hr-HR"/>
        </w:rPr>
        <w:t>)</w:t>
      </w:r>
      <w:r w:rsidR="005B5103">
        <w:rPr>
          <w:rFonts w:ascii="Times New Roman" w:hAnsi="Times New Roman"/>
          <w:lang w:eastAsia="hr-HR"/>
        </w:rPr>
        <w:t>:</w:t>
      </w:r>
      <w:r w:rsidR="004D0258" w:rsidRPr="00BF44AE" w:rsidDel="004D0258">
        <w:rPr>
          <w:rFonts w:ascii="Times New Roman" w:hAnsi="Times New Roman"/>
          <w:lang w:eastAsia="hr-HR"/>
        </w:rPr>
        <w:t xml:space="preserve"> </w:t>
      </w:r>
    </w:p>
    <w:p w14:paraId="7D330558" w14:textId="77777777" w:rsidR="00BF44AE" w:rsidRPr="00BF44AE" w:rsidRDefault="00BF44AE" w:rsidP="000F6DDF">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Provedba rasterećenja investicijskog potencijala operatora javnih mreža pokretnih komunikacija, u sklopu ukupnoga administrativnog rasterećenja hrvatskog gospodarstva u cjelini, a u cilju uklanjanja postojećih prepreka i daljnjeg unaprjeđenja uvjeta za uvođenje i razvoj 5G tehnologija i usluga u Republici Hrvatskoj. Navedene mjere trebale bi pozitivno utjecati na osnaživanje poticajnog okruženja za daljnja ulaganja na tržištu elektroničkih komunikacija, a osobito na poticanje ulaganja operatora u gigabitne mreže i infrastrukturu, kako bi Hrvatska ispunila ciljeve utvrđene Planom uvođenja 5G usluga do 2025. godine, koji je donijelo Vijeće Europske unije u prosincu 2017. godine.</w:t>
      </w:r>
    </w:p>
    <w:p w14:paraId="7D330559"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Propisivanje mehanizma kojim će se učinak ovoga smanjenja visine godišnje naknade za uporabu neuparenog radiofrekvencijskog spektra ravnomjerno primijeniti na sve operatore javnih mreža pokretnih komunikacija u Republici Hrvatskoj, na način da se operatorima priznaje pravo na povrat razlike između iznosa te naknade uplaćene za zadnje obračunsko razdoblje, prema ranije važećem pravilniku, i iznosa te naknade utvrđene Pravilnikom, a ta razlika smatrat će se preplatom uplaćene naknade i obračunati operatorima u skladu s Pravilnikom prigodom izdavanja računa za obračunska razdoblja u sljedećim godinama valjanosti dozvole za uporabu radiofrekvencijskog spektra, u tri jednaka obroka do povrata cjelokupnog preplaćenog iznosa.</w:t>
      </w:r>
    </w:p>
    <w:p w14:paraId="7D33055A" w14:textId="77777777" w:rsid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Pravilnik o izmjeni i dopuni pravilnika o plaćanju naknada za pravo Uporabe adresa, brojeva i radiofrekvencijskog spektra (NN 73/20)</w:t>
      </w:r>
    </w:p>
    <w:p w14:paraId="7D33055B" w14:textId="77777777" w:rsid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w:t>
      </w:r>
      <w:r w:rsidRPr="00BF44AE">
        <w:rPr>
          <w:rFonts w:ascii="Times New Roman" w:hAnsi="Times New Roman"/>
          <w:lang w:eastAsia="hr-HR"/>
        </w:rPr>
        <w:tab/>
        <w:t>članka 10. stavka 2. kojim se izraz »(20 × a × b × c)« zamjenjuje izrazom »(10 × a × b × c)« čime se naknada za mreže pokretnih komunikacija umanjuje za 50%</w:t>
      </w:r>
    </w:p>
    <w:p w14:paraId="7D33055C" w14:textId="77777777" w:rsidR="00BF44AE" w:rsidRPr="00BF44AE" w:rsidRDefault="00BF44AE" w:rsidP="00BF44AE">
      <w:pPr>
        <w:autoSpaceDE w:val="0"/>
        <w:autoSpaceDN w:val="0"/>
        <w:adjustRightInd w:val="0"/>
        <w:spacing w:after="0" w:line="240" w:lineRule="auto"/>
        <w:ind w:left="1134" w:hanging="283"/>
        <w:jc w:val="both"/>
        <w:rPr>
          <w:rFonts w:ascii="Times New Roman" w:hAnsi="Times New Roman"/>
          <w:lang w:eastAsia="hr-HR"/>
        </w:rPr>
      </w:pPr>
      <w:r w:rsidRPr="00BF44AE">
        <w:rPr>
          <w:rFonts w:ascii="Times New Roman" w:hAnsi="Times New Roman"/>
          <w:lang w:eastAsia="hr-HR"/>
        </w:rPr>
        <w:t>-  Pravo na povrat razlike između iznosa naknade uplaćene z</w:t>
      </w:r>
      <w:r w:rsidR="000F6DDF">
        <w:rPr>
          <w:rFonts w:ascii="Times New Roman" w:hAnsi="Times New Roman"/>
          <w:lang w:eastAsia="hr-HR"/>
        </w:rPr>
        <w:t xml:space="preserve">a zadnje obračunsko razdoblje </w:t>
      </w:r>
      <w:r w:rsidRPr="00BF44AE">
        <w:rPr>
          <w:rFonts w:ascii="Times New Roman" w:hAnsi="Times New Roman"/>
          <w:lang w:eastAsia="hr-HR"/>
        </w:rPr>
        <w:t>iznosa te naknade utvrđene gore donesenim izmjenama pravilnika</w:t>
      </w:r>
      <w:r w:rsidR="005B5103">
        <w:rPr>
          <w:rFonts w:ascii="Times New Roman" w:hAnsi="Times New Roman"/>
          <w:lang w:eastAsia="hr-HR"/>
        </w:rPr>
        <w:t>.</w:t>
      </w:r>
    </w:p>
    <w:p w14:paraId="7D33055D" w14:textId="77777777" w:rsidR="00BF44AE" w:rsidRPr="00BF44AE" w:rsidRDefault="00BF44AE" w:rsidP="00BF44AE">
      <w:pPr>
        <w:autoSpaceDE w:val="0"/>
        <w:autoSpaceDN w:val="0"/>
        <w:adjustRightInd w:val="0"/>
        <w:spacing w:after="0" w:line="240" w:lineRule="auto"/>
        <w:jc w:val="both"/>
        <w:rPr>
          <w:rFonts w:ascii="Times New Roman" w:hAnsi="Times New Roman"/>
          <w:lang w:eastAsia="hr-HR"/>
        </w:rPr>
      </w:pPr>
    </w:p>
    <w:p w14:paraId="7D33055E" w14:textId="77777777" w:rsidR="00BF44AE" w:rsidRPr="00BF44AE" w:rsidRDefault="00BF44AE" w:rsidP="00BF44AE">
      <w:pPr>
        <w:autoSpaceDE w:val="0"/>
        <w:autoSpaceDN w:val="0"/>
        <w:adjustRightInd w:val="0"/>
        <w:spacing w:after="0" w:line="240" w:lineRule="auto"/>
        <w:jc w:val="both"/>
        <w:rPr>
          <w:rFonts w:ascii="Times New Roman" w:hAnsi="Times New Roman"/>
          <w:lang w:eastAsia="hr-HR"/>
        </w:rPr>
      </w:pPr>
      <w:r w:rsidRPr="00BF44AE">
        <w:rPr>
          <w:rFonts w:ascii="Times New Roman" w:hAnsi="Times New Roman"/>
          <w:lang w:eastAsia="hr-HR"/>
        </w:rPr>
        <w:t>Izmjene gore navedenog Pravilnika stupile su na snagu 1. srpnja 2020. godine, te će isti imati daljnji utjecaj na smanjenje prihoda državnog proračuna.</w:t>
      </w:r>
    </w:p>
    <w:p w14:paraId="7D33055F" w14:textId="77777777" w:rsidR="00BF44AE" w:rsidRDefault="00BF44AE" w:rsidP="00BF44AE">
      <w:pPr>
        <w:autoSpaceDE w:val="0"/>
        <w:autoSpaceDN w:val="0"/>
        <w:adjustRightInd w:val="0"/>
        <w:spacing w:after="0" w:line="240" w:lineRule="auto"/>
        <w:jc w:val="both"/>
        <w:rPr>
          <w:rFonts w:ascii="Times New Roman" w:hAnsi="Times New Roman"/>
          <w:lang w:eastAsia="hr-HR"/>
        </w:rPr>
      </w:pPr>
    </w:p>
    <w:p w14:paraId="7D330560" w14:textId="77777777" w:rsidR="00BF44AE" w:rsidRPr="00BF44AE" w:rsidRDefault="00BF44AE" w:rsidP="00BF44AE">
      <w:pPr>
        <w:autoSpaceDE w:val="0"/>
        <w:autoSpaceDN w:val="0"/>
        <w:adjustRightInd w:val="0"/>
        <w:spacing w:after="0" w:line="240" w:lineRule="auto"/>
        <w:jc w:val="both"/>
        <w:rPr>
          <w:rFonts w:ascii="Times New Roman" w:hAnsi="Times New Roman"/>
          <w:lang w:eastAsia="hr-HR"/>
        </w:rPr>
      </w:pPr>
      <w:r w:rsidRPr="00BF44AE">
        <w:rPr>
          <w:rFonts w:ascii="Times New Roman" w:hAnsi="Times New Roman"/>
          <w:lang w:eastAsia="hr-HR"/>
        </w:rPr>
        <w:lastRenderedPageBreak/>
        <w:t xml:space="preserve">Smanjenje prihoda od naknada za eksploataciju plina u epikontinentalnom pojasu </w:t>
      </w:r>
      <w:r>
        <w:rPr>
          <w:rFonts w:ascii="Times New Roman" w:hAnsi="Times New Roman"/>
          <w:lang w:eastAsia="hr-HR"/>
        </w:rPr>
        <w:t>- p</w:t>
      </w:r>
      <w:r w:rsidRPr="00BF44AE">
        <w:rPr>
          <w:rFonts w:ascii="Times New Roman" w:hAnsi="Times New Roman"/>
          <w:lang w:eastAsia="hr-HR"/>
        </w:rPr>
        <w:t>rema informacijama resornog ministarstva od 2016. godine kontinuirano se smanjuje proizvodnja plina u epikontinentalnom pojasu jer polja daju sve manje plina.</w:t>
      </w:r>
    </w:p>
    <w:p w14:paraId="7D330561" w14:textId="77777777" w:rsidR="00BF44AE" w:rsidRPr="0075773E" w:rsidRDefault="00BF44AE" w:rsidP="00B10BD2">
      <w:pPr>
        <w:autoSpaceDE w:val="0"/>
        <w:autoSpaceDN w:val="0"/>
        <w:adjustRightInd w:val="0"/>
        <w:spacing w:after="0" w:line="240" w:lineRule="auto"/>
        <w:jc w:val="both"/>
        <w:rPr>
          <w:rFonts w:ascii="Times New Roman" w:hAnsi="Times New Roman"/>
          <w:b/>
          <w:lang w:eastAsia="hr-HR"/>
        </w:rPr>
      </w:pPr>
    </w:p>
    <w:p w14:paraId="7D330562" w14:textId="77777777" w:rsidR="00575C1A" w:rsidRPr="00082B1F" w:rsidRDefault="00BF44AE" w:rsidP="00B10BD2">
      <w:pPr>
        <w:autoSpaceDE w:val="0"/>
        <w:autoSpaceDN w:val="0"/>
        <w:adjustRightInd w:val="0"/>
        <w:spacing w:after="0" w:line="240" w:lineRule="auto"/>
        <w:jc w:val="both"/>
        <w:rPr>
          <w:rFonts w:ascii="Times New Roman" w:hAnsi="Times New Roman"/>
          <w:lang w:eastAsia="hr-HR"/>
        </w:rPr>
      </w:pPr>
      <w:r w:rsidRPr="00BF44AE">
        <w:rPr>
          <w:rFonts w:ascii="Times New Roman" w:hAnsi="Times New Roman"/>
          <w:lang w:eastAsia="hr-HR"/>
        </w:rPr>
        <w:t xml:space="preserve">Datumi plaćanja pojedinih vrsta prihoda naknade za koncesiju može imati utjecaj na smanjenje/povećanje ostvarenja naknade u promatranom razdoblju. Navedeno se posebno </w:t>
      </w:r>
      <w:r>
        <w:rPr>
          <w:rFonts w:ascii="Times New Roman" w:hAnsi="Times New Roman"/>
          <w:lang w:eastAsia="hr-HR"/>
        </w:rPr>
        <w:t>pojavljuje</w:t>
      </w:r>
      <w:r w:rsidR="00B10BD2" w:rsidRPr="00082B1F">
        <w:rPr>
          <w:rFonts w:ascii="Times New Roman" w:hAnsi="Times New Roman"/>
          <w:lang w:eastAsia="hr-HR"/>
        </w:rPr>
        <w:t xml:space="preserve"> </w:t>
      </w:r>
      <w:r w:rsidR="00360894" w:rsidRPr="00082B1F">
        <w:rPr>
          <w:rFonts w:ascii="Times New Roman" w:hAnsi="Times New Roman"/>
          <w:lang w:eastAsia="hr-HR"/>
        </w:rPr>
        <w:t xml:space="preserve">kod </w:t>
      </w:r>
      <w:r w:rsidR="00B10BD2" w:rsidRPr="00082B1F">
        <w:rPr>
          <w:rFonts w:ascii="Times New Roman" w:hAnsi="Times New Roman"/>
          <w:lang w:eastAsia="hr-HR"/>
        </w:rPr>
        <w:t xml:space="preserve">određenih vrsta prihoda </w:t>
      </w:r>
      <w:r w:rsidR="00026EFC" w:rsidRPr="00082B1F">
        <w:rPr>
          <w:rFonts w:ascii="Times New Roman" w:hAnsi="Times New Roman"/>
          <w:lang w:eastAsia="hr-HR"/>
        </w:rPr>
        <w:t xml:space="preserve">(naknada za koncesije (koje se odnose na naknadu za zauzetu površinu u epikontinentalnom pojasu) i naknada za izgradnju i upravljanje zračnom lukom)) </w:t>
      </w:r>
      <w:r>
        <w:rPr>
          <w:rFonts w:ascii="Times New Roman" w:hAnsi="Times New Roman"/>
          <w:lang w:eastAsia="hr-HR"/>
        </w:rPr>
        <w:t xml:space="preserve">gdje se </w:t>
      </w:r>
      <w:r w:rsidR="00026EFC" w:rsidRPr="00082B1F">
        <w:rPr>
          <w:rFonts w:ascii="Times New Roman" w:hAnsi="Times New Roman"/>
          <w:lang w:eastAsia="hr-HR"/>
        </w:rPr>
        <w:t>e</w:t>
      </w:r>
      <w:r w:rsidR="00B10BD2" w:rsidRPr="00082B1F">
        <w:rPr>
          <w:rFonts w:ascii="Times New Roman" w:hAnsi="Times New Roman"/>
          <w:lang w:eastAsia="hr-HR"/>
        </w:rPr>
        <w:t>videntiraju odstupanja (smanjenja/povećanja) u promatrane dvije godine</w:t>
      </w:r>
      <w:r w:rsidR="00360894" w:rsidRPr="00082B1F">
        <w:rPr>
          <w:rFonts w:ascii="Times New Roman" w:hAnsi="Times New Roman"/>
          <w:lang w:eastAsia="hr-HR"/>
        </w:rPr>
        <w:t xml:space="preserve">, </w:t>
      </w:r>
      <w:r w:rsidR="00026EFC" w:rsidRPr="00082B1F">
        <w:rPr>
          <w:rFonts w:ascii="Times New Roman" w:hAnsi="Times New Roman"/>
          <w:lang w:eastAsia="hr-HR"/>
        </w:rPr>
        <w:t xml:space="preserve">uzrok čega nije povećanje/smanjenje zaduženja ili obračuna </w:t>
      </w:r>
      <w:r w:rsidR="003B31FB" w:rsidRPr="00082B1F">
        <w:rPr>
          <w:rFonts w:ascii="Times New Roman" w:hAnsi="Times New Roman"/>
          <w:lang w:eastAsia="hr-HR"/>
        </w:rPr>
        <w:t xml:space="preserve">naknade, </w:t>
      </w:r>
      <w:r w:rsidR="00026EFC" w:rsidRPr="00082B1F">
        <w:rPr>
          <w:rFonts w:ascii="Times New Roman" w:hAnsi="Times New Roman"/>
          <w:lang w:eastAsia="hr-HR"/>
        </w:rPr>
        <w:t>bilo zakonskim/podzakonskim aktima ili smanjenim obujm</w:t>
      </w:r>
      <w:r w:rsidR="00360894" w:rsidRPr="00082B1F">
        <w:rPr>
          <w:rFonts w:ascii="Times New Roman" w:hAnsi="Times New Roman"/>
          <w:lang w:eastAsia="hr-HR"/>
        </w:rPr>
        <w:t>om rada, već datumi plaćanja naknade.</w:t>
      </w:r>
      <w:r w:rsidR="00A71C02" w:rsidRPr="00082B1F">
        <w:rPr>
          <w:rFonts w:ascii="Times New Roman" w:hAnsi="Times New Roman"/>
          <w:lang w:eastAsia="hr-HR"/>
        </w:rPr>
        <w:t xml:space="preserve"> </w:t>
      </w:r>
    </w:p>
    <w:p w14:paraId="7D330563" w14:textId="77777777" w:rsidR="00575C1A" w:rsidRDefault="00575C1A" w:rsidP="00B10BD2">
      <w:pPr>
        <w:autoSpaceDE w:val="0"/>
        <w:autoSpaceDN w:val="0"/>
        <w:adjustRightInd w:val="0"/>
        <w:spacing w:after="0" w:line="240" w:lineRule="auto"/>
        <w:jc w:val="both"/>
        <w:rPr>
          <w:rFonts w:ascii="Times New Roman" w:hAnsi="Times New Roman"/>
          <w:b/>
          <w:lang w:eastAsia="hr-HR"/>
        </w:rPr>
      </w:pPr>
    </w:p>
    <w:p w14:paraId="7D330564" w14:textId="77777777" w:rsidR="00FE68DB" w:rsidRPr="00B10BD2" w:rsidRDefault="00082B1F" w:rsidP="00B10BD2">
      <w:pPr>
        <w:autoSpaceDE w:val="0"/>
        <w:autoSpaceDN w:val="0"/>
        <w:adjustRightInd w:val="0"/>
        <w:spacing w:after="0" w:line="240" w:lineRule="auto"/>
        <w:jc w:val="both"/>
        <w:rPr>
          <w:rFonts w:ascii="Times New Roman" w:hAnsi="Times New Roman"/>
          <w:b/>
          <w:lang w:eastAsia="hr-HR"/>
        </w:rPr>
      </w:pPr>
      <w:r w:rsidRPr="00082B1F">
        <w:rPr>
          <w:rFonts w:ascii="Times New Roman" w:hAnsi="Times New Roman"/>
        </w:rPr>
        <w:t xml:space="preserve">Godišnja naknada za koncesiju za zračnu luku plaća se u četiri rate godišnje. </w:t>
      </w:r>
      <w:r w:rsidR="00A71C02" w:rsidRPr="00082B1F">
        <w:rPr>
          <w:rFonts w:ascii="Times New Roman" w:hAnsi="Times New Roman"/>
        </w:rPr>
        <w:t xml:space="preserve">Tako je </w:t>
      </w:r>
      <w:r w:rsidR="007121E1" w:rsidRPr="00082B1F">
        <w:rPr>
          <w:rFonts w:ascii="Times New Roman" w:hAnsi="Times New Roman"/>
        </w:rPr>
        <w:t>prihod od naknade</w:t>
      </w:r>
      <w:r w:rsidR="00A71C02" w:rsidRPr="00082B1F">
        <w:rPr>
          <w:rFonts w:ascii="Times New Roman" w:hAnsi="Times New Roman"/>
        </w:rPr>
        <w:t xml:space="preserve"> za koncesiju za izgradnju i upravljanje zračnom lukom (</w:t>
      </w:r>
      <w:r w:rsidR="000C140A" w:rsidRPr="00082B1F">
        <w:rPr>
          <w:rFonts w:ascii="Times New Roman" w:hAnsi="Times New Roman"/>
        </w:rPr>
        <w:t>T</w:t>
      </w:r>
      <w:r w:rsidR="00A71C02" w:rsidRPr="00082B1F">
        <w:rPr>
          <w:rFonts w:ascii="Times New Roman" w:hAnsi="Times New Roman"/>
        </w:rPr>
        <w:t>ablica 3.), za 201</w:t>
      </w:r>
      <w:r w:rsidR="007121E1" w:rsidRPr="00082B1F">
        <w:rPr>
          <w:rFonts w:ascii="Times New Roman" w:hAnsi="Times New Roman"/>
        </w:rPr>
        <w:t>8</w:t>
      </w:r>
      <w:r w:rsidR="00A71C02" w:rsidRPr="00082B1F">
        <w:rPr>
          <w:rFonts w:ascii="Times New Roman" w:hAnsi="Times New Roman"/>
        </w:rPr>
        <w:t xml:space="preserve">. godinu </w:t>
      </w:r>
      <w:r w:rsidR="007121E1" w:rsidRPr="00082B1F">
        <w:rPr>
          <w:rFonts w:ascii="Times New Roman" w:hAnsi="Times New Roman"/>
        </w:rPr>
        <w:t>prikazan umanjeno</w:t>
      </w:r>
      <w:r w:rsidR="00A71C02" w:rsidRPr="00082B1F">
        <w:rPr>
          <w:rFonts w:ascii="Times New Roman" w:hAnsi="Times New Roman"/>
        </w:rPr>
        <w:t xml:space="preserve"> za jednu koncesijsku naknadu </w:t>
      </w:r>
      <w:r w:rsidR="007121E1" w:rsidRPr="00082B1F">
        <w:rPr>
          <w:rFonts w:ascii="Times New Roman" w:hAnsi="Times New Roman"/>
        </w:rPr>
        <w:t>(cca 9 mln kuna)</w:t>
      </w:r>
      <w:r w:rsidR="00A71C02" w:rsidRPr="00082B1F">
        <w:rPr>
          <w:rFonts w:ascii="Times New Roman" w:hAnsi="Times New Roman"/>
        </w:rPr>
        <w:t xml:space="preserve">, budući da je uplata izvršena 29.12.2017. godine, te </w:t>
      </w:r>
      <w:r>
        <w:rPr>
          <w:rFonts w:ascii="Times New Roman" w:hAnsi="Times New Roman"/>
        </w:rPr>
        <w:t>je</w:t>
      </w:r>
      <w:r w:rsidR="00A71C02" w:rsidRPr="00082B1F">
        <w:rPr>
          <w:rFonts w:ascii="Times New Roman" w:hAnsi="Times New Roman"/>
        </w:rPr>
        <w:t xml:space="preserve"> ista </w:t>
      </w:r>
      <w:r>
        <w:rPr>
          <w:rFonts w:ascii="Times New Roman" w:hAnsi="Times New Roman"/>
        </w:rPr>
        <w:t>ubrojena u</w:t>
      </w:r>
      <w:r w:rsidR="00A71C02" w:rsidRPr="00082B1F">
        <w:rPr>
          <w:rFonts w:ascii="Times New Roman" w:hAnsi="Times New Roman"/>
        </w:rPr>
        <w:t xml:space="preserve"> </w:t>
      </w:r>
      <w:r w:rsidR="007121E1" w:rsidRPr="00082B1F">
        <w:rPr>
          <w:rFonts w:ascii="Times New Roman" w:hAnsi="Times New Roman"/>
        </w:rPr>
        <w:t>prihod</w:t>
      </w:r>
      <w:r w:rsidR="00A71C02" w:rsidRPr="00082B1F">
        <w:rPr>
          <w:rFonts w:ascii="Times New Roman" w:hAnsi="Times New Roman"/>
        </w:rPr>
        <w:t xml:space="preserve"> za 2017. godinu.</w:t>
      </w:r>
      <w:r w:rsidR="007121E1">
        <w:rPr>
          <w:rFonts w:ascii="Times New Roman" w:hAnsi="Times New Roman"/>
        </w:rPr>
        <w:t xml:space="preserve"> </w:t>
      </w:r>
      <w:r>
        <w:rPr>
          <w:rFonts w:ascii="Times New Roman" w:hAnsi="Times New Roman"/>
        </w:rPr>
        <w:t>Koncesionar je obveze za 2019. godinu redovno uplatio i u toj godini je prikazan stvarni iznos naknade za koncesiju.</w:t>
      </w:r>
    </w:p>
    <w:p w14:paraId="7D330565" w14:textId="77777777" w:rsidR="00683E92" w:rsidRDefault="00683E92" w:rsidP="007E72E6">
      <w:pPr>
        <w:autoSpaceDE w:val="0"/>
        <w:autoSpaceDN w:val="0"/>
        <w:adjustRightInd w:val="0"/>
        <w:spacing w:after="0" w:line="240" w:lineRule="auto"/>
        <w:jc w:val="both"/>
        <w:rPr>
          <w:rFonts w:ascii="Times New Roman" w:hAnsi="Times New Roman"/>
          <w:b/>
          <w:sz w:val="20"/>
          <w:szCs w:val="20"/>
          <w:lang w:eastAsia="hr-HR"/>
        </w:rPr>
      </w:pPr>
    </w:p>
    <w:p w14:paraId="7D330566" w14:textId="77777777" w:rsidR="00401B42" w:rsidRPr="00235530" w:rsidRDefault="00401B42" w:rsidP="007E72E6">
      <w:pPr>
        <w:autoSpaceDE w:val="0"/>
        <w:autoSpaceDN w:val="0"/>
        <w:adjustRightInd w:val="0"/>
        <w:spacing w:after="0" w:line="240" w:lineRule="auto"/>
        <w:jc w:val="both"/>
        <w:rPr>
          <w:rFonts w:ascii="Times New Roman" w:hAnsi="Times New Roman"/>
          <w:sz w:val="20"/>
          <w:szCs w:val="20"/>
          <w:lang w:eastAsia="hr-HR"/>
        </w:rPr>
      </w:pPr>
      <w:r w:rsidRPr="00235530">
        <w:rPr>
          <w:rFonts w:ascii="Times New Roman" w:hAnsi="Times New Roman"/>
          <w:b/>
          <w:sz w:val="20"/>
          <w:szCs w:val="20"/>
          <w:lang w:eastAsia="hr-HR"/>
        </w:rPr>
        <w:t xml:space="preserve">Tablica </w:t>
      </w:r>
      <w:r w:rsidR="00E17C10" w:rsidRPr="00235530">
        <w:rPr>
          <w:rFonts w:ascii="Times New Roman" w:hAnsi="Times New Roman"/>
          <w:b/>
          <w:sz w:val="20"/>
          <w:szCs w:val="20"/>
          <w:lang w:eastAsia="hr-HR"/>
        </w:rPr>
        <w:t>3</w:t>
      </w:r>
      <w:r w:rsidRPr="00235530">
        <w:rPr>
          <w:rFonts w:ascii="Times New Roman" w:hAnsi="Times New Roman"/>
          <w:b/>
          <w:sz w:val="20"/>
          <w:szCs w:val="20"/>
          <w:lang w:eastAsia="hr-HR"/>
        </w:rPr>
        <w:t xml:space="preserve">. </w:t>
      </w:r>
      <w:r w:rsidRPr="00235530">
        <w:rPr>
          <w:rFonts w:ascii="Times New Roman" w:hAnsi="Times New Roman"/>
          <w:sz w:val="20"/>
          <w:szCs w:val="20"/>
          <w:lang w:eastAsia="hr-HR"/>
        </w:rPr>
        <w:t xml:space="preserve">Prikaz </w:t>
      </w:r>
      <w:r w:rsidR="00E41F7D" w:rsidRPr="00235530">
        <w:rPr>
          <w:rFonts w:ascii="Times New Roman" w:hAnsi="Times New Roman"/>
          <w:sz w:val="20"/>
          <w:szCs w:val="20"/>
          <w:lang w:eastAsia="hr-HR"/>
        </w:rPr>
        <w:t xml:space="preserve">ukupnih </w:t>
      </w:r>
      <w:r w:rsidRPr="00235530">
        <w:rPr>
          <w:rFonts w:ascii="Times New Roman" w:hAnsi="Times New Roman"/>
          <w:sz w:val="20"/>
          <w:szCs w:val="20"/>
          <w:lang w:eastAsia="hr-HR"/>
        </w:rPr>
        <w:t>prihoda od naknade za koncesiju po vrstama koncesije</w:t>
      </w:r>
    </w:p>
    <w:p w14:paraId="7D330567" w14:textId="77777777" w:rsidR="00F42D32" w:rsidRPr="00235530" w:rsidRDefault="00544DA8" w:rsidP="007E72E6">
      <w:pPr>
        <w:autoSpaceDE w:val="0"/>
        <w:autoSpaceDN w:val="0"/>
        <w:adjustRightInd w:val="0"/>
        <w:spacing w:after="0" w:line="240" w:lineRule="auto"/>
        <w:jc w:val="both"/>
        <w:rPr>
          <w:rFonts w:ascii="Times New Roman" w:hAnsi="Times New Roman"/>
          <w:b/>
          <w:sz w:val="20"/>
          <w:szCs w:val="20"/>
          <w:lang w:eastAsia="hr-HR"/>
        </w:rPr>
      </w:pPr>
      <w:r w:rsidRPr="00544DA8">
        <w:rPr>
          <w:noProof/>
          <w:lang w:eastAsia="hr-HR"/>
        </w:rPr>
        <w:drawing>
          <wp:inline distT="0" distB="0" distL="0" distR="0" wp14:anchorId="7D3306DA" wp14:editId="7D3306DB">
            <wp:extent cx="5723890" cy="4535805"/>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90" cy="4535805"/>
                    </a:xfrm>
                    <a:prstGeom prst="rect">
                      <a:avLst/>
                    </a:prstGeom>
                    <a:noFill/>
                    <a:ln>
                      <a:noFill/>
                    </a:ln>
                  </pic:spPr>
                </pic:pic>
              </a:graphicData>
            </a:graphic>
          </wp:inline>
        </w:drawing>
      </w:r>
    </w:p>
    <w:p w14:paraId="7D330568" w14:textId="77777777" w:rsidR="004B7FD4" w:rsidRPr="00235530" w:rsidRDefault="003852DD" w:rsidP="004B7FD4">
      <w:pPr>
        <w:spacing w:after="0" w:line="240" w:lineRule="auto"/>
        <w:jc w:val="both"/>
        <w:rPr>
          <w:rFonts w:ascii="Times New Roman" w:hAnsi="Times New Roman"/>
          <w:sz w:val="18"/>
          <w:szCs w:val="18"/>
        </w:rPr>
      </w:pPr>
      <w:r w:rsidRPr="00235530">
        <w:rPr>
          <w:rFonts w:ascii="Times New Roman" w:hAnsi="Times New Roman"/>
          <w:b/>
          <w:sz w:val="18"/>
          <w:szCs w:val="18"/>
        </w:rPr>
        <w:t>Izvor:</w:t>
      </w:r>
      <w:r w:rsidR="00FE68DB" w:rsidRPr="00235530">
        <w:rPr>
          <w:rFonts w:ascii="Times New Roman" w:hAnsi="Times New Roman"/>
          <w:b/>
          <w:sz w:val="18"/>
          <w:szCs w:val="18"/>
        </w:rPr>
        <w:t xml:space="preserve"> </w:t>
      </w:r>
      <w:r w:rsidRPr="00235530">
        <w:rPr>
          <w:rFonts w:ascii="Times New Roman" w:hAnsi="Times New Roman"/>
          <w:sz w:val="18"/>
          <w:szCs w:val="18"/>
        </w:rPr>
        <w:t>FINA, Državna riznica</w:t>
      </w:r>
    </w:p>
    <w:p w14:paraId="7D330569" w14:textId="77777777" w:rsidR="001F1F16" w:rsidRPr="00235530" w:rsidRDefault="001F1F16" w:rsidP="00713164">
      <w:pPr>
        <w:spacing w:after="0" w:line="240" w:lineRule="auto"/>
        <w:jc w:val="both"/>
        <w:rPr>
          <w:rFonts w:ascii="Times New Roman" w:hAnsi="Times New Roman"/>
          <w:b/>
        </w:rPr>
      </w:pPr>
    </w:p>
    <w:p w14:paraId="7D33056A" w14:textId="77777777" w:rsidR="002A2215" w:rsidRPr="00235530" w:rsidRDefault="002A2215" w:rsidP="002A2215">
      <w:pPr>
        <w:autoSpaceDE w:val="0"/>
        <w:autoSpaceDN w:val="0"/>
        <w:adjustRightInd w:val="0"/>
        <w:spacing w:after="0" w:line="240" w:lineRule="auto"/>
        <w:jc w:val="both"/>
        <w:rPr>
          <w:rFonts w:ascii="Times New Roman" w:hAnsi="Times New Roman"/>
          <w:lang w:eastAsia="hr-HR"/>
        </w:rPr>
      </w:pPr>
      <w:r w:rsidRPr="00235530">
        <w:rPr>
          <w:rFonts w:ascii="Times New Roman" w:hAnsi="Times New Roman"/>
          <w:lang w:eastAsia="hr-HR"/>
        </w:rPr>
        <w:t>Tablica 3. prikazuje prihode od naknada za koncesiju po vrstama prihoda u ukupnom iznosu. Prikazani podaci u tablici obuhvaćaju i odnose se na zajedničke prihode koji se dijele između državnog proračuna i/ili proračuna JLPRS-a, koji su u Tablici 2. prikazani u ukupnom iznosu, dok će se isti kasnije prikazati u iznosima koji su podijeljeni između državnog proračuna i/ili proračuna JLPRS-a.</w:t>
      </w:r>
    </w:p>
    <w:p w14:paraId="7D33056B" w14:textId="77777777" w:rsidR="00A704AB" w:rsidRPr="00235530" w:rsidRDefault="00A704AB" w:rsidP="00713164">
      <w:pPr>
        <w:spacing w:after="0" w:line="240" w:lineRule="auto"/>
        <w:jc w:val="both"/>
        <w:rPr>
          <w:rFonts w:ascii="Times New Roman" w:hAnsi="Times New Roman"/>
          <w:b/>
        </w:rPr>
      </w:pPr>
    </w:p>
    <w:p w14:paraId="7D33056C" w14:textId="77777777" w:rsidR="00E128DC" w:rsidRDefault="00713164" w:rsidP="00713164">
      <w:pPr>
        <w:spacing w:after="0" w:line="240" w:lineRule="auto"/>
        <w:jc w:val="both"/>
        <w:rPr>
          <w:rFonts w:ascii="Times New Roman" w:hAnsi="Times New Roman"/>
        </w:rPr>
      </w:pPr>
      <w:r w:rsidRPr="00235530">
        <w:rPr>
          <w:rFonts w:ascii="Times New Roman" w:hAnsi="Times New Roman"/>
          <w:b/>
        </w:rPr>
        <w:t>Izravni prihodi državnog proračuna</w:t>
      </w:r>
      <w:r w:rsidRPr="00235530">
        <w:rPr>
          <w:rFonts w:ascii="Times New Roman" w:hAnsi="Times New Roman"/>
        </w:rPr>
        <w:t xml:space="preserve"> ostvareni su tijekom </w:t>
      </w:r>
      <w:r w:rsidR="00455146" w:rsidRPr="00235530">
        <w:rPr>
          <w:rFonts w:ascii="Times New Roman" w:hAnsi="Times New Roman"/>
        </w:rPr>
        <w:t>201</w:t>
      </w:r>
      <w:r w:rsidR="00575C1A">
        <w:rPr>
          <w:rFonts w:ascii="Times New Roman" w:hAnsi="Times New Roman"/>
        </w:rPr>
        <w:t>9</w:t>
      </w:r>
      <w:r w:rsidR="00455146" w:rsidRPr="00235530">
        <w:rPr>
          <w:rFonts w:ascii="Times New Roman" w:hAnsi="Times New Roman"/>
        </w:rPr>
        <w:t xml:space="preserve">. godini </w:t>
      </w:r>
      <w:r w:rsidR="008C6469">
        <w:rPr>
          <w:rFonts w:ascii="Times New Roman" w:hAnsi="Times New Roman"/>
        </w:rPr>
        <w:t xml:space="preserve">u iznosu od </w:t>
      </w:r>
      <w:r w:rsidR="00575C1A">
        <w:rPr>
          <w:rFonts w:ascii="Times New Roman" w:hAnsi="Times New Roman"/>
        </w:rPr>
        <w:t>396,7</w:t>
      </w:r>
      <w:r w:rsidR="00455146" w:rsidRPr="00235530">
        <w:rPr>
          <w:rFonts w:ascii="Times New Roman" w:hAnsi="Times New Roman"/>
        </w:rPr>
        <w:t xml:space="preserve"> mln kuna dok su u </w:t>
      </w:r>
      <w:r w:rsidR="00A704AB" w:rsidRPr="00235530">
        <w:rPr>
          <w:rFonts w:ascii="Times New Roman" w:hAnsi="Times New Roman"/>
        </w:rPr>
        <w:t>201</w:t>
      </w:r>
      <w:r w:rsidR="00575C1A">
        <w:rPr>
          <w:rFonts w:ascii="Times New Roman" w:hAnsi="Times New Roman"/>
        </w:rPr>
        <w:t>8</w:t>
      </w:r>
      <w:r w:rsidRPr="00235530">
        <w:rPr>
          <w:rFonts w:ascii="Times New Roman" w:hAnsi="Times New Roman"/>
        </w:rPr>
        <w:t xml:space="preserve">. godine u  </w:t>
      </w:r>
      <w:r w:rsidR="008C6469" w:rsidRPr="00235530">
        <w:rPr>
          <w:rFonts w:ascii="Times New Roman" w:hAnsi="Times New Roman"/>
        </w:rPr>
        <w:t xml:space="preserve">ostvareni u iznosu od </w:t>
      </w:r>
      <w:r w:rsidR="00575C1A">
        <w:rPr>
          <w:rFonts w:ascii="Times New Roman" w:hAnsi="Times New Roman"/>
        </w:rPr>
        <w:t>664,1</w:t>
      </w:r>
      <w:r w:rsidR="00F33232">
        <w:rPr>
          <w:rFonts w:ascii="Times New Roman" w:hAnsi="Times New Roman"/>
        </w:rPr>
        <w:t xml:space="preserve"> mln kuna</w:t>
      </w:r>
      <w:r w:rsidRPr="00235530">
        <w:rPr>
          <w:rFonts w:ascii="Times New Roman" w:hAnsi="Times New Roman"/>
        </w:rPr>
        <w:t>. Najznačajniji utjecaj na smanjenje izravnih prihoda državnog proračuna ima smanjenje prihoda od naknade za koncesiju u javnim telekomunikacijama i za upotrebu radio frekvencija (</w:t>
      </w:r>
      <w:r w:rsidR="00AE2C57" w:rsidRPr="00235530">
        <w:rPr>
          <w:rFonts w:ascii="Times New Roman" w:hAnsi="Times New Roman"/>
        </w:rPr>
        <w:t xml:space="preserve">smanjenje od </w:t>
      </w:r>
      <w:r w:rsidR="00261108">
        <w:rPr>
          <w:rFonts w:ascii="Times New Roman" w:hAnsi="Times New Roman"/>
        </w:rPr>
        <w:t>56,3</w:t>
      </w:r>
      <w:r w:rsidRPr="00235530">
        <w:rPr>
          <w:rFonts w:ascii="Times New Roman" w:hAnsi="Times New Roman"/>
        </w:rPr>
        <w:t xml:space="preserve"> posto)</w:t>
      </w:r>
      <w:r w:rsidR="00AB738E" w:rsidRPr="00235530">
        <w:rPr>
          <w:rFonts w:ascii="Times New Roman" w:hAnsi="Times New Roman"/>
        </w:rPr>
        <w:t>, a</w:t>
      </w:r>
      <w:r w:rsidR="00D15B56" w:rsidRPr="00235530">
        <w:rPr>
          <w:rFonts w:ascii="Times New Roman" w:hAnsi="Times New Roman"/>
        </w:rPr>
        <w:t xml:space="preserve"> koji su u 201</w:t>
      </w:r>
      <w:r w:rsidR="00261108">
        <w:rPr>
          <w:rFonts w:ascii="Times New Roman" w:hAnsi="Times New Roman"/>
        </w:rPr>
        <w:t>9</w:t>
      </w:r>
      <w:r w:rsidR="00D15B56" w:rsidRPr="00235530">
        <w:rPr>
          <w:rFonts w:ascii="Times New Roman" w:hAnsi="Times New Roman"/>
        </w:rPr>
        <w:t xml:space="preserve">. godini ostvareni u iznosu od </w:t>
      </w:r>
      <w:r w:rsidR="00261108">
        <w:rPr>
          <w:rFonts w:ascii="Times New Roman" w:hAnsi="Times New Roman"/>
        </w:rPr>
        <w:t>192,7</w:t>
      </w:r>
      <w:r w:rsidR="00D15B56" w:rsidRPr="00235530">
        <w:rPr>
          <w:rFonts w:ascii="Times New Roman" w:hAnsi="Times New Roman"/>
        </w:rPr>
        <w:t xml:space="preserve"> mln kuna. </w:t>
      </w:r>
      <w:r w:rsidR="00F33232" w:rsidRPr="00F33232">
        <w:rPr>
          <w:rFonts w:ascii="Times New Roman" w:hAnsi="Times New Roman"/>
          <w:b/>
        </w:rPr>
        <w:t>N</w:t>
      </w:r>
      <w:r w:rsidR="00E128DC" w:rsidRPr="00E128DC">
        <w:rPr>
          <w:rFonts w:ascii="Times New Roman" w:hAnsi="Times New Roman"/>
          <w:b/>
        </w:rPr>
        <w:t xml:space="preserve">aknade za koncesiju u javnim telekomunikacijama i za upotrebu radio frekvencija kontinuirano unazad par godina </w:t>
      </w:r>
      <w:r w:rsidR="00F33232">
        <w:rPr>
          <w:rFonts w:ascii="Times New Roman" w:hAnsi="Times New Roman"/>
          <w:b/>
        </w:rPr>
        <w:t xml:space="preserve">bilježe smanjenje kada su isti u </w:t>
      </w:r>
      <w:r w:rsidR="00E128DC">
        <w:rPr>
          <w:rFonts w:ascii="Times New Roman" w:hAnsi="Times New Roman"/>
          <w:b/>
        </w:rPr>
        <w:t>201</w:t>
      </w:r>
      <w:r w:rsidR="00E32E4E">
        <w:rPr>
          <w:rFonts w:ascii="Times New Roman" w:hAnsi="Times New Roman"/>
          <w:b/>
        </w:rPr>
        <w:t>5</w:t>
      </w:r>
      <w:r w:rsidR="00F33232">
        <w:rPr>
          <w:rFonts w:ascii="Times New Roman" w:hAnsi="Times New Roman"/>
          <w:b/>
        </w:rPr>
        <w:t>. godini</w:t>
      </w:r>
      <w:r w:rsidR="00E128DC">
        <w:rPr>
          <w:rFonts w:ascii="Times New Roman" w:hAnsi="Times New Roman"/>
          <w:b/>
        </w:rPr>
        <w:t xml:space="preserve"> iznosili </w:t>
      </w:r>
      <w:r w:rsidR="00E32E4E">
        <w:rPr>
          <w:rFonts w:ascii="Times New Roman" w:hAnsi="Times New Roman"/>
          <w:b/>
        </w:rPr>
        <w:t>903,3</w:t>
      </w:r>
      <w:r w:rsidR="00E128DC">
        <w:rPr>
          <w:rFonts w:ascii="Times New Roman" w:hAnsi="Times New Roman"/>
          <w:b/>
        </w:rPr>
        <w:t xml:space="preserve"> mln kuna, a 2019. godine tek 192,7 mln kuna</w:t>
      </w:r>
      <w:r w:rsidR="00E32E4E">
        <w:rPr>
          <w:rFonts w:ascii="Times New Roman" w:hAnsi="Times New Roman"/>
          <w:b/>
        </w:rPr>
        <w:t xml:space="preserve">. </w:t>
      </w:r>
      <w:r w:rsidR="00F33232">
        <w:rPr>
          <w:rFonts w:ascii="Times New Roman" w:hAnsi="Times New Roman"/>
          <w:b/>
        </w:rPr>
        <w:t xml:space="preserve">Za očekivati je da će i tijekom 2020. godine doći do daljnjeg smanjenja ove vrste prihoda. </w:t>
      </w:r>
    </w:p>
    <w:p w14:paraId="7D33056D" w14:textId="77777777" w:rsidR="00E128DC" w:rsidRDefault="00E128DC" w:rsidP="00713164">
      <w:pPr>
        <w:spacing w:after="0" w:line="240" w:lineRule="auto"/>
        <w:jc w:val="both"/>
        <w:rPr>
          <w:rFonts w:ascii="Times New Roman" w:hAnsi="Times New Roman"/>
        </w:rPr>
      </w:pPr>
    </w:p>
    <w:p w14:paraId="7D33056E" w14:textId="77777777" w:rsidR="00713164" w:rsidRPr="00235530" w:rsidRDefault="00AE2C57" w:rsidP="00713164">
      <w:pPr>
        <w:spacing w:after="0" w:line="240" w:lineRule="auto"/>
        <w:jc w:val="both"/>
        <w:rPr>
          <w:rFonts w:ascii="Times New Roman" w:hAnsi="Times New Roman"/>
        </w:rPr>
      </w:pPr>
      <w:r w:rsidRPr="00235530">
        <w:rPr>
          <w:rFonts w:ascii="Times New Roman" w:hAnsi="Times New Roman"/>
        </w:rPr>
        <w:t>Prihodi od naknade za eksploataciju plina u epikontinentalnom pojasu u 201</w:t>
      </w:r>
      <w:r w:rsidR="00261108">
        <w:rPr>
          <w:rFonts w:ascii="Times New Roman" w:hAnsi="Times New Roman"/>
        </w:rPr>
        <w:t>9</w:t>
      </w:r>
      <w:r w:rsidRPr="00235530">
        <w:rPr>
          <w:rFonts w:ascii="Times New Roman" w:hAnsi="Times New Roman"/>
        </w:rPr>
        <w:t xml:space="preserve">. godini </w:t>
      </w:r>
      <w:r w:rsidR="004D0258">
        <w:rPr>
          <w:rFonts w:ascii="Times New Roman" w:hAnsi="Times New Roman"/>
        </w:rPr>
        <w:t>iznosili su</w:t>
      </w:r>
      <w:r w:rsidRPr="00235530">
        <w:rPr>
          <w:rFonts w:ascii="Times New Roman" w:hAnsi="Times New Roman"/>
        </w:rPr>
        <w:t xml:space="preserve"> </w:t>
      </w:r>
      <w:r w:rsidR="00261108">
        <w:rPr>
          <w:rFonts w:ascii="Times New Roman" w:hAnsi="Times New Roman"/>
        </w:rPr>
        <w:t>64,2</w:t>
      </w:r>
      <w:r w:rsidRPr="00235530">
        <w:rPr>
          <w:rFonts w:ascii="Times New Roman" w:hAnsi="Times New Roman"/>
        </w:rPr>
        <w:t xml:space="preserve"> mln kuna i bilježe smanjenje od </w:t>
      </w:r>
      <w:r w:rsidR="00261108">
        <w:rPr>
          <w:rFonts w:ascii="Times New Roman" w:hAnsi="Times New Roman"/>
        </w:rPr>
        <w:t>37,1</w:t>
      </w:r>
      <w:r w:rsidRPr="00235530">
        <w:rPr>
          <w:rFonts w:ascii="Times New Roman" w:hAnsi="Times New Roman"/>
        </w:rPr>
        <w:t xml:space="preserve"> posto u odnosu na iste ostvarene u 201</w:t>
      </w:r>
      <w:r w:rsidR="00261108">
        <w:rPr>
          <w:rFonts w:ascii="Times New Roman" w:hAnsi="Times New Roman"/>
        </w:rPr>
        <w:t>8</w:t>
      </w:r>
      <w:r w:rsidRPr="00235530">
        <w:rPr>
          <w:rFonts w:ascii="Times New Roman" w:hAnsi="Times New Roman"/>
        </w:rPr>
        <w:t xml:space="preserve">. godini kada su iznosili </w:t>
      </w:r>
      <w:r w:rsidR="00261108">
        <w:rPr>
          <w:rFonts w:ascii="Times New Roman" w:hAnsi="Times New Roman"/>
        </w:rPr>
        <w:t>102,1</w:t>
      </w:r>
      <w:r w:rsidRPr="00235530">
        <w:rPr>
          <w:rFonts w:ascii="Times New Roman" w:hAnsi="Times New Roman"/>
        </w:rPr>
        <w:t xml:space="preserve"> mln kuna</w:t>
      </w:r>
      <w:r w:rsidR="00AB738E" w:rsidRPr="00235530">
        <w:rPr>
          <w:rFonts w:ascii="Times New Roman" w:hAnsi="Times New Roman"/>
        </w:rPr>
        <w:t xml:space="preserve"> što je također </w:t>
      </w:r>
      <w:r w:rsidR="00261108">
        <w:rPr>
          <w:rFonts w:ascii="Times New Roman" w:hAnsi="Times New Roman"/>
        </w:rPr>
        <w:t>utjecalo značajno</w:t>
      </w:r>
      <w:r w:rsidR="00AB738E" w:rsidRPr="00235530">
        <w:rPr>
          <w:rFonts w:ascii="Times New Roman" w:hAnsi="Times New Roman"/>
        </w:rPr>
        <w:t xml:space="preserve"> na smanjenje prihoda od koncesijske naknade.</w:t>
      </w:r>
      <w:r w:rsidR="00A704AB" w:rsidRPr="00235530">
        <w:rPr>
          <w:rFonts w:ascii="Times New Roman" w:hAnsi="Times New Roman"/>
        </w:rPr>
        <w:t xml:space="preserve"> </w:t>
      </w:r>
    </w:p>
    <w:p w14:paraId="7D33056F" w14:textId="77777777" w:rsidR="004B7FD4" w:rsidRPr="00235530" w:rsidRDefault="004B7FD4" w:rsidP="004B7FD4">
      <w:pPr>
        <w:spacing w:after="0" w:line="240" w:lineRule="auto"/>
        <w:jc w:val="both"/>
        <w:rPr>
          <w:rFonts w:ascii="Times New Roman" w:hAnsi="Times New Roman"/>
          <w:b/>
        </w:rPr>
      </w:pPr>
    </w:p>
    <w:p w14:paraId="7D330570" w14:textId="77777777" w:rsidR="004B7FD4" w:rsidRPr="00235530" w:rsidRDefault="00E41F7D" w:rsidP="004B7FD4">
      <w:pPr>
        <w:spacing w:after="0" w:line="240" w:lineRule="auto"/>
        <w:jc w:val="both"/>
        <w:rPr>
          <w:rFonts w:ascii="Times New Roman" w:hAnsi="Times New Roman"/>
        </w:rPr>
      </w:pPr>
      <w:r w:rsidRPr="00235530">
        <w:rPr>
          <w:rFonts w:ascii="Times New Roman" w:hAnsi="Times New Roman"/>
          <w:b/>
        </w:rPr>
        <w:t>Zajednički prihodi državnog, gradskih i općinskih proračuna</w:t>
      </w:r>
      <w:r w:rsidR="004B7FD4" w:rsidRPr="00235530">
        <w:rPr>
          <w:rFonts w:ascii="Times New Roman" w:hAnsi="Times New Roman"/>
          <w:b/>
        </w:rPr>
        <w:t xml:space="preserve"> </w:t>
      </w:r>
      <w:r w:rsidR="004E2606">
        <w:rPr>
          <w:rFonts w:ascii="Times New Roman" w:hAnsi="Times New Roman"/>
          <w:bCs/>
        </w:rPr>
        <w:t>iznosili su</w:t>
      </w:r>
      <w:r w:rsidR="004B7FD4" w:rsidRPr="004E2606">
        <w:rPr>
          <w:rFonts w:ascii="Times New Roman" w:hAnsi="Times New Roman"/>
          <w:bCs/>
        </w:rPr>
        <w:t xml:space="preserve"> </w:t>
      </w:r>
      <w:r w:rsidR="008C6469" w:rsidRPr="004E2606">
        <w:rPr>
          <w:rFonts w:ascii="Times New Roman" w:hAnsi="Times New Roman"/>
          <w:bCs/>
        </w:rPr>
        <w:t>201</w:t>
      </w:r>
      <w:r w:rsidR="00AF1069" w:rsidRPr="004E2606">
        <w:rPr>
          <w:rFonts w:ascii="Times New Roman" w:hAnsi="Times New Roman"/>
          <w:bCs/>
        </w:rPr>
        <w:t>9</w:t>
      </w:r>
      <w:r w:rsidR="008C6469" w:rsidRPr="004E2606">
        <w:rPr>
          <w:rFonts w:ascii="Times New Roman" w:hAnsi="Times New Roman"/>
          <w:bCs/>
        </w:rPr>
        <w:t xml:space="preserve">. godini </w:t>
      </w:r>
      <w:r w:rsidR="00AF1069">
        <w:rPr>
          <w:rFonts w:ascii="Times New Roman" w:hAnsi="Times New Roman"/>
          <w:bCs/>
        </w:rPr>
        <w:t>18,5</w:t>
      </w:r>
      <w:r w:rsidR="008C6469" w:rsidRPr="00235530">
        <w:rPr>
          <w:rFonts w:ascii="Times New Roman" w:hAnsi="Times New Roman"/>
          <w:bCs/>
        </w:rPr>
        <w:t xml:space="preserve"> mln kuna</w:t>
      </w:r>
      <w:r w:rsidR="008C6469">
        <w:rPr>
          <w:rFonts w:ascii="Times New Roman" w:hAnsi="Times New Roman"/>
          <w:bCs/>
        </w:rPr>
        <w:t xml:space="preserve">, </w:t>
      </w:r>
      <w:r w:rsidR="008C6469" w:rsidRPr="00235530">
        <w:rPr>
          <w:rFonts w:ascii="Times New Roman" w:hAnsi="Times New Roman"/>
          <w:bCs/>
        </w:rPr>
        <w:t>a u</w:t>
      </w:r>
      <w:r w:rsidR="008C6469">
        <w:rPr>
          <w:rFonts w:ascii="Times New Roman" w:hAnsi="Times New Roman"/>
          <w:bCs/>
        </w:rPr>
        <w:t xml:space="preserve"> </w:t>
      </w:r>
      <w:r w:rsidR="00A704AB" w:rsidRPr="00235530">
        <w:rPr>
          <w:rFonts w:ascii="Times New Roman" w:hAnsi="Times New Roman"/>
          <w:bCs/>
        </w:rPr>
        <w:t>201</w:t>
      </w:r>
      <w:r w:rsidR="00AF1069">
        <w:rPr>
          <w:rFonts w:ascii="Times New Roman" w:hAnsi="Times New Roman"/>
          <w:bCs/>
        </w:rPr>
        <w:t>8</w:t>
      </w:r>
      <w:r w:rsidR="004B7FD4" w:rsidRPr="00235530">
        <w:rPr>
          <w:rFonts w:ascii="Times New Roman" w:hAnsi="Times New Roman"/>
          <w:bCs/>
        </w:rPr>
        <w:t xml:space="preserve">. godini </w:t>
      </w:r>
      <w:r w:rsidR="001D5051">
        <w:rPr>
          <w:rFonts w:ascii="Times New Roman" w:hAnsi="Times New Roman"/>
          <w:bCs/>
        </w:rPr>
        <w:t>12</w:t>
      </w:r>
      <w:r w:rsidR="00AF1069">
        <w:rPr>
          <w:rFonts w:ascii="Times New Roman" w:hAnsi="Times New Roman"/>
          <w:bCs/>
        </w:rPr>
        <w:t>,4</w:t>
      </w:r>
      <w:r w:rsidR="004B7FD4" w:rsidRPr="00235530">
        <w:rPr>
          <w:rFonts w:ascii="Times New Roman" w:hAnsi="Times New Roman"/>
          <w:bCs/>
        </w:rPr>
        <w:t xml:space="preserve"> mln kuna, </w:t>
      </w:r>
      <w:r w:rsidRPr="00235530">
        <w:rPr>
          <w:rFonts w:ascii="Times New Roman" w:hAnsi="Times New Roman"/>
        </w:rPr>
        <w:t xml:space="preserve">što predstavlja </w:t>
      </w:r>
      <w:r w:rsidR="00AF1069">
        <w:rPr>
          <w:rFonts w:ascii="Times New Roman" w:hAnsi="Times New Roman"/>
        </w:rPr>
        <w:t xml:space="preserve">povećanje </w:t>
      </w:r>
      <w:r w:rsidRPr="00235530">
        <w:rPr>
          <w:rFonts w:ascii="Times New Roman" w:hAnsi="Times New Roman"/>
        </w:rPr>
        <w:t xml:space="preserve"> u ostvarenju za  </w:t>
      </w:r>
      <w:r w:rsidR="001D5051">
        <w:rPr>
          <w:rFonts w:ascii="Times New Roman" w:hAnsi="Times New Roman"/>
        </w:rPr>
        <w:t>48,5</w:t>
      </w:r>
      <w:r w:rsidRPr="00235530">
        <w:rPr>
          <w:rFonts w:ascii="Times New Roman" w:hAnsi="Times New Roman"/>
        </w:rPr>
        <w:t xml:space="preserve"> posto. </w:t>
      </w:r>
      <w:r w:rsidRPr="008B4958">
        <w:rPr>
          <w:rFonts w:ascii="Times New Roman" w:hAnsi="Times New Roman"/>
        </w:rPr>
        <w:t>Na ovakva kretanja</w:t>
      </w:r>
      <w:r w:rsidRPr="00235530">
        <w:rPr>
          <w:rFonts w:ascii="Times New Roman" w:hAnsi="Times New Roman"/>
        </w:rPr>
        <w:t xml:space="preserve"> prihoda utjecalo je </w:t>
      </w:r>
      <w:r w:rsidR="00AF1069">
        <w:rPr>
          <w:rFonts w:ascii="Times New Roman" w:hAnsi="Times New Roman"/>
        </w:rPr>
        <w:t>povećanje</w:t>
      </w:r>
      <w:r w:rsidRPr="00235530">
        <w:rPr>
          <w:rFonts w:ascii="Times New Roman" w:hAnsi="Times New Roman"/>
        </w:rPr>
        <w:t xml:space="preserve"> </w:t>
      </w:r>
      <w:r w:rsidR="00AF1069">
        <w:rPr>
          <w:rFonts w:ascii="Times New Roman" w:hAnsi="Times New Roman"/>
        </w:rPr>
        <w:t>u ostvarenju naknade za koncesiju za mineralne i termalne vode</w:t>
      </w:r>
      <w:r w:rsidR="00960C46">
        <w:rPr>
          <w:rFonts w:ascii="Times New Roman" w:hAnsi="Times New Roman"/>
        </w:rPr>
        <w:t>,</w:t>
      </w:r>
      <w:r w:rsidR="00AF1069">
        <w:rPr>
          <w:rFonts w:ascii="Times New Roman" w:hAnsi="Times New Roman"/>
        </w:rPr>
        <w:t xml:space="preserve"> naknade za koncesiju za zahvaćanje pitke vode</w:t>
      </w:r>
      <w:r w:rsidR="008B4958">
        <w:rPr>
          <w:rFonts w:ascii="Times New Roman" w:hAnsi="Times New Roman"/>
        </w:rPr>
        <w:t xml:space="preserve">. </w:t>
      </w:r>
      <w:r w:rsidRPr="00235530">
        <w:rPr>
          <w:rFonts w:ascii="Times New Roman" w:hAnsi="Times New Roman"/>
        </w:rPr>
        <w:t xml:space="preserve">Tako su prihodi od naknada za koncesiju za </w:t>
      </w:r>
      <w:r w:rsidR="00535BED" w:rsidRPr="00235530">
        <w:rPr>
          <w:rFonts w:ascii="Times New Roman" w:hAnsi="Times New Roman"/>
        </w:rPr>
        <w:t xml:space="preserve">mineralne i termalne vode </w:t>
      </w:r>
      <w:r w:rsidR="00AF1069">
        <w:rPr>
          <w:rFonts w:ascii="Times New Roman" w:hAnsi="Times New Roman"/>
        </w:rPr>
        <w:t>povećani za 82,2</w:t>
      </w:r>
      <w:r w:rsidR="00535BED" w:rsidRPr="00235530">
        <w:rPr>
          <w:rFonts w:ascii="Times New Roman" w:hAnsi="Times New Roman"/>
        </w:rPr>
        <w:t xml:space="preserve"> posto, </w:t>
      </w:r>
      <w:r w:rsidR="00D913E3" w:rsidRPr="00235530">
        <w:rPr>
          <w:rFonts w:ascii="Times New Roman" w:hAnsi="Times New Roman"/>
        </w:rPr>
        <w:t xml:space="preserve">prihod od naknada za koncesiju za </w:t>
      </w:r>
      <w:r w:rsidR="00D913E3">
        <w:rPr>
          <w:rFonts w:ascii="Times New Roman" w:hAnsi="Times New Roman"/>
        </w:rPr>
        <w:t>zahvaćanje pitke vode</w:t>
      </w:r>
      <w:r w:rsidR="00D913E3" w:rsidRPr="00235530">
        <w:rPr>
          <w:rFonts w:ascii="Times New Roman" w:hAnsi="Times New Roman"/>
        </w:rPr>
        <w:t xml:space="preserve"> </w:t>
      </w:r>
      <w:r w:rsidR="00D913E3">
        <w:rPr>
          <w:rFonts w:ascii="Times New Roman" w:hAnsi="Times New Roman"/>
        </w:rPr>
        <w:t>porasli</w:t>
      </w:r>
      <w:r w:rsidR="00D913E3" w:rsidRPr="00235530">
        <w:rPr>
          <w:rFonts w:ascii="Times New Roman" w:hAnsi="Times New Roman"/>
        </w:rPr>
        <w:t xml:space="preserve"> su za </w:t>
      </w:r>
      <w:r w:rsidR="00D913E3">
        <w:rPr>
          <w:rFonts w:ascii="Times New Roman" w:hAnsi="Times New Roman"/>
        </w:rPr>
        <w:t xml:space="preserve">252,7 posto, dok su </w:t>
      </w:r>
      <w:r w:rsidR="004131EE" w:rsidRPr="00235530">
        <w:rPr>
          <w:rFonts w:ascii="Times New Roman" w:hAnsi="Times New Roman"/>
        </w:rPr>
        <w:t xml:space="preserve">prihodi od naknade za koncesiju za javnu vodoopskrbu </w:t>
      </w:r>
      <w:r w:rsidR="00D913E3">
        <w:rPr>
          <w:rFonts w:ascii="Times New Roman" w:hAnsi="Times New Roman"/>
        </w:rPr>
        <w:t>smanjeni</w:t>
      </w:r>
      <w:r w:rsidR="00AF1069">
        <w:rPr>
          <w:rFonts w:ascii="Times New Roman" w:hAnsi="Times New Roman"/>
        </w:rPr>
        <w:t xml:space="preserve"> </w:t>
      </w:r>
      <w:r w:rsidR="004131EE" w:rsidRPr="00235530">
        <w:rPr>
          <w:rFonts w:ascii="Times New Roman" w:hAnsi="Times New Roman"/>
        </w:rPr>
        <w:t xml:space="preserve">za </w:t>
      </w:r>
      <w:r w:rsidR="00D913E3">
        <w:rPr>
          <w:rFonts w:ascii="Times New Roman" w:hAnsi="Times New Roman"/>
        </w:rPr>
        <w:t>11,1</w:t>
      </w:r>
      <w:r w:rsidR="004131EE" w:rsidRPr="00235530">
        <w:rPr>
          <w:rFonts w:ascii="Times New Roman" w:hAnsi="Times New Roman"/>
        </w:rPr>
        <w:t xml:space="preserve"> posto</w:t>
      </w:r>
      <w:r w:rsidR="00E96233">
        <w:rPr>
          <w:rFonts w:ascii="Times New Roman" w:hAnsi="Times New Roman"/>
        </w:rPr>
        <w:t>.</w:t>
      </w:r>
    </w:p>
    <w:p w14:paraId="7D330571" w14:textId="77777777" w:rsidR="004B7FD4" w:rsidRPr="00235530" w:rsidRDefault="004B7FD4" w:rsidP="004B7FD4">
      <w:pPr>
        <w:spacing w:after="0" w:line="240" w:lineRule="auto"/>
        <w:jc w:val="both"/>
        <w:rPr>
          <w:rFonts w:ascii="Times New Roman" w:hAnsi="Times New Roman"/>
          <w:b/>
        </w:rPr>
      </w:pPr>
    </w:p>
    <w:p w14:paraId="7D330572" w14:textId="77777777" w:rsidR="004B7FD4" w:rsidRPr="00235530" w:rsidRDefault="00E41F7D" w:rsidP="004B7FD4">
      <w:pPr>
        <w:spacing w:after="0" w:line="240" w:lineRule="auto"/>
        <w:jc w:val="both"/>
        <w:rPr>
          <w:rFonts w:ascii="Times New Roman" w:hAnsi="Times New Roman"/>
        </w:rPr>
      </w:pPr>
      <w:r w:rsidRPr="00235530">
        <w:rPr>
          <w:rFonts w:ascii="Times New Roman" w:hAnsi="Times New Roman"/>
          <w:b/>
        </w:rPr>
        <w:t xml:space="preserve">Zajednički prihodi  </w:t>
      </w:r>
      <w:r w:rsidR="004B7FD4" w:rsidRPr="00235530">
        <w:rPr>
          <w:rFonts w:ascii="Times New Roman" w:hAnsi="Times New Roman"/>
          <w:b/>
        </w:rPr>
        <w:t>državnog proračuna</w:t>
      </w:r>
      <w:r w:rsidRPr="00235530">
        <w:rPr>
          <w:rFonts w:ascii="Times New Roman" w:hAnsi="Times New Roman"/>
          <w:b/>
        </w:rPr>
        <w:t xml:space="preserve"> i </w:t>
      </w:r>
      <w:r w:rsidR="004B7FD4" w:rsidRPr="00235530">
        <w:rPr>
          <w:rFonts w:ascii="Times New Roman" w:hAnsi="Times New Roman"/>
          <w:b/>
        </w:rPr>
        <w:t xml:space="preserve"> </w:t>
      </w:r>
      <w:r w:rsidRPr="00235530">
        <w:rPr>
          <w:rFonts w:ascii="Times New Roman" w:hAnsi="Times New Roman"/>
          <w:b/>
        </w:rPr>
        <w:t>županijskih</w:t>
      </w:r>
      <w:r w:rsidR="004B7FD4" w:rsidRPr="00235530">
        <w:rPr>
          <w:rFonts w:ascii="Times New Roman" w:hAnsi="Times New Roman"/>
          <w:b/>
        </w:rPr>
        <w:t xml:space="preserve"> i </w:t>
      </w:r>
      <w:r w:rsidRPr="00235530">
        <w:rPr>
          <w:rFonts w:ascii="Times New Roman" w:hAnsi="Times New Roman"/>
          <w:b/>
        </w:rPr>
        <w:t>gradskih</w:t>
      </w:r>
      <w:r w:rsidR="004B7FD4" w:rsidRPr="00235530">
        <w:rPr>
          <w:rFonts w:ascii="Times New Roman" w:hAnsi="Times New Roman"/>
          <w:b/>
        </w:rPr>
        <w:t>/</w:t>
      </w:r>
      <w:r w:rsidRPr="00235530">
        <w:rPr>
          <w:rFonts w:ascii="Times New Roman" w:hAnsi="Times New Roman"/>
          <w:b/>
        </w:rPr>
        <w:t>općinskih proračuna</w:t>
      </w:r>
      <w:r w:rsidR="004B7FD4" w:rsidRPr="00235530">
        <w:rPr>
          <w:rFonts w:ascii="Times New Roman" w:hAnsi="Times New Roman"/>
          <w:b/>
        </w:rPr>
        <w:t xml:space="preserve"> </w:t>
      </w:r>
      <w:r w:rsidR="004E2606">
        <w:rPr>
          <w:rFonts w:ascii="Times New Roman" w:hAnsi="Times New Roman"/>
          <w:bCs/>
        </w:rPr>
        <w:t xml:space="preserve">iznosili </w:t>
      </w:r>
      <w:r w:rsidR="004B7FD4" w:rsidRPr="00235530">
        <w:rPr>
          <w:rFonts w:ascii="Times New Roman" w:hAnsi="Times New Roman"/>
          <w:bCs/>
        </w:rPr>
        <w:t xml:space="preserve">su u </w:t>
      </w:r>
      <w:r w:rsidRPr="00235530">
        <w:rPr>
          <w:rFonts w:ascii="Times New Roman" w:hAnsi="Times New Roman"/>
          <w:bCs/>
        </w:rPr>
        <w:t>201</w:t>
      </w:r>
      <w:r w:rsidR="0060736D">
        <w:rPr>
          <w:rFonts w:ascii="Times New Roman" w:hAnsi="Times New Roman"/>
          <w:bCs/>
        </w:rPr>
        <w:t>9</w:t>
      </w:r>
      <w:r w:rsidR="004B7FD4" w:rsidRPr="00235530">
        <w:rPr>
          <w:rFonts w:ascii="Times New Roman" w:hAnsi="Times New Roman"/>
          <w:bCs/>
        </w:rPr>
        <w:t xml:space="preserve">. godini </w:t>
      </w:r>
      <w:r w:rsidR="00BA7E1C">
        <w:rPr>
          <w:rFonts w:ascii="Times New Roman" w:hAnsi="Times New Roman"/>
          <w:bCs/>
        </w:rPr>
        <w:t>523,</w:t>
      </w:r>
      <w:r w:rsidR="0060736D">
        <w:rPr>
          <w:rFonts w:ascii="Times New Roman" w:hAnsi="Times New Roman"/>
          <w:bCs/>
        </w:rPr>
        <w:t>1</w:t>
      </w:r>
      <w:r w:rsidR="004B7FD4" w:rsidRPr="00235530">
        <w:rPr>
          <w:rFonts w:ascii="Times New Roman" w:hAnsi="Times New Roman"/>
          <w:bCs/>
        </w:rPr>
        <w:t xml:space="preserve"> mln kuna, dok su 201</w:t>
      </w:r>
      <w:r w:rsidR="0060736D">
        <w:rPr>
          <w:rFonts w:ascii="Times New Roman" w:hAnsi="Times New Roman"/>
          <w:bCs/>
        </w:rPr>
        <w:t>8</w:t>
      </w:r>
      <w:r w:rsidR="004B7FD4" w:rsidRPr="00235530">
        <w:rPr>
          <w:rFonts w:ascii="Times New Roman" w:hAnsi="Times New Roman"/>
          <w:bCs/>
        </w:rPr>
        <w:t xml:space="preserve">. godini </w:t>
      </w:r>
      <w:r w:rsidR="004E2606">
        <w:rPr>
          <w:rFonts w:ascii="Times New Roman" w:hAnsi="Times New Roman"/>
          <w:bCs/>
        </w:rPr>
        <w:t>iznosili</w:t>
      </w:r>
      <w:r w:rsidR="004B7FD4" w:rsidRPr="00235530">
        <w:rPr>
          <w:rFonts w:ascii="Times New Roman" w:hAnsi="Times New Roman"/>
          <w:bCs/>
        </w:rPr>
        <w:t xml:space="preserve"> </w:t>
      </w:r>
      <w:r w:rsidR="0060736D">
        <w:rPr>
          <w:rFonts w:ascii="Times New Roman" w:hAnsi="Times New Roman"/>
          <w:bCs/>
        </w:rPr>
        <w:t>523,5</w:t>
      </w:r>
      <w:r w:rsidR="004B7FD4" w:rsidRPr="00235530">
        <w:rPr>
          <w:rFonts w:ascii="Times New Roman" w:hAnsi="Times New Roman"/>
          <w:bCs/>
        </w:rPr>
        <w:t xml:space="preserve"> mln kuna. </w:t>
      </w:r>
      <w:r w:rsidR="004B7FD4" w:rsidRPr="00235530">
        <w:rPr>
          <w:rFonts w:ascii="Times New Roman" w:hAnsi="Times New Roman"/>
        </w:rPr>
        <w:t xml:space="preserve">Tako su prihodi od naknada za koncesiju na pomorskom dobru u </w:t>
      </w:r>
      <w:r w:rsidR="00322F0E" w:rsidRPr="00235530">
        <w:rPr>
          <w:rFonts w:ascii="Times New Roman" w:hAnsi="Times New Roman"/>
        </w:rPr>
        <w:t>201</w:t>
      </w:r>
      <w:r w:rsidR="0060736D">
        <w:rPr>
          <w:rFonts w:ascii="Times New Roman" w:hAnsi="Times New Roman"/>
        </w:rPr>
        <w:t>9</w:t>
      </w:r>
      <w:r w:rsidR="004B7FD4" w:rsidRPr="00235530">
        <w:rPr>
          <w:rFonts w:ascii="Times New Roman" w:hAnsi="Times New Roman"/>
        </w:rPr>
        <w:t xml:space="preserve">. godini iznosili  </w:t>
      </w:r>
      <w:r w:rsidR="0060736D">
        <w:rPr>
          <w:rFonts w:ascii="Times New Roman" w:hAnsi="Times New Roman"/>
        </w:rPr>
        <w:t>109,3</w:t>
      </w:r>
      <w:r w:rsidR="004B7FD4" w:rsidRPr="00235530">
        <w:rPr>
          <w:rFonts w:ascii="Times New Roman" w:hAnsi="Times New Roman"/>
        </w:rPr>
        <w:t xml:space="preserve"> mln kuna, a u </w:t>
      </w:r>
      <w:r w:rsidR="00322F0E" w:rsidRPr="00235530">
        <w:rPr>
          <w:rFonts w:ascii="Times New Roman" w:hAnsi="Times New Roman"/>
        </w:rPr>
        <w:t>201</w:t>
      </w:r>
      <w:r w:rsidR="0060736D">
        <w:rPr>
          <w:rFonts w:ascii="Times New Roman" w:hAnsi="Times New Roman"/>
        </w:rPr>
        <w:t>8</w:t>
      </w:r>
      <w:r w:rsidR="004B7FD4" w:rsidRPr="00235530">
        <w:rPr>
          <w:rFonts w:ascii="Times New Roman" w:hAnsi="Times New Roman"/>
        </w:rPr>
        <w:t xml:space="preserve">. godini </w:t>
      </w:r>
      <w:r w:rsidR="0060736D">
        <w:rPr>
          <w:rFonts w:ascii="Times New Roman" w:hAnsi="Times New Roman"/>
        </w:rPr>
        <w:t>118,4</w:t>
      </w:r>
      <w:r w:rsidR="004B7FD4" w:rsidRPr="00235530">
        <w:rPr>
          <w:rFonts w:ascii="Times New Roman" w:hAnsi="Times New Roman"/>
        </w:rPr>
        <w:t xml:space="preserve"> mln kuna</w:t>
      </w:r>
      <w:r w:rsidR="00322F0E" w:rsidRPr="00235530">
        <w:rPr>
          <w:rFonts w:ascii="Times New Roman" w:hAnsi="Times New Roman"/>
        </w:rPr>
        <w:t xml:space="preserve"> (</w:t>
      </w:r>
      <w:r w:rsidR="004C744B" w:rsidRPr="00235530">
        <w:rPr>
          <w:rFonts w:ascii="Times New Roman" w:hAnsi="Times New Roman"/>
        </w:rPr>
        <w:t>smanjenje</w:t>
      </w:r>
      <w:r w:rsidR="00322F0E" w:rsidRPr="00235530">
        <w:rPr>
          <w:rFonts w:ascii="Times New Roman" w:hAnsi="Times New Roman"/>
        </w:rPr>
        <w:t xml:space="preserve"> </w:t>
      </w:r>
      <w:r w:rsidR="004C744B" w:rsidRPr="00235530">
        <w:rPr>
          <w:rFonts w:ascii="Times New Roman" w:hAnsi="Times New Roman"/>
        </w:rPr>
        <w:t>za</w:t>
      </w:r>
      <w:r w:rsidR="00322F0E" w:rsidRPr="00235530">
        <w:rPr>
          <w:rFonts w:ascii="Times New Roman" w:hAnsi="Times New Roman"/>
        </w:rPr>
        <w:t xml:space="preserve"> </w:t>
      </w:r>
      <w:r w:rsidR="0060736D">
        <w:rPr>
          <w:rFonts w:ascii="Times New Roman" w:hAnsi="Times New Roman"/>
        </w:rPr>
        <w:t>7,6</w:t>
      </w:r>
      <w:r w:rsidR="00322F0E" w:rsidRPr="00235530">
        <w:rPr>
          <w:rFonts w:ascii="Times New Roman" w:hAnsi="Times New Roman"/>
        </w:rPr>
        <w:t xml:space="preserve"> posto)</w:t>
      </w:r>
      <w:r w:rsidR="004B7FD4" w:rsidRPr="00235530">
        <w:rPr>
          <w:rFonts w:ascii="Times New Roman" w:hAnsi="Times New Roman"/>
        </w:rPr>
        <w:t>,</w:t>
      </w:r>
      <w:r w:rsidR="00BA7E1C">
        <w:rPr>
          <w:rFonts w:ascii="Times New Roman" w:hAnsi="Times New Roman"/>
        </w:rPr>
        <w:t xml:space="preserve"> prihodi za koncesiju za poljoprivredno zemljište ostvareni su u 201</w:t>
      </w:r>
      <w:r w:rsidR="0060736D">
        <w:rPr>
          <w:rFonts w:ascii="Times New Roman" w:hAnsi="Times New Roman"/>
        </w:rPr>
        <w:t>9</w:t>
      </w:r>
      <w:r w:rsidR="00BA7E1C">
        <w:rPr>
          <w:rFonts w:ascii="Times New Roman" w:hAnsi="Times New Roman"/>
        </w:rPr>
        <w:t xml:space="preserve">. godini u iznosu od </w:t>
      </w:r>
      <w:r w:rsidR="0060736D">
        <w:rPr>
          <w:rFonts w:ascii="Times New Roman" w:hAnsi="Times New Roman"/>
        </w:rPr>
        <w:t>34,5</w:t>
      </w:r>
      <w:r w:rsidR="00BA7E1C">
        <w:rPr>
          <w:rFonts w:ascii="Times New Roman" w:hAnsi="Times New Roman"/>
        </w:rPr>
        <w:t xml:space="preserve"> mln kuna, dok su u 201</w:t>
      </w:r>
      <w:r w:rsidR="0060736D">
        <w:rPr>
          <w:rFonts w:ascii="Times New Roman" w:hAnsi="Times New Roman"/>
        </w:rPr>
        <w:t>8</w:t>
      </w:r>
      <w:r w:rsidR="00BA7E1C">
        <w:rPr>
          <w:rFonts w:ascii="Times New Roman" w:hAnsi="Times New Roman"/>
        </w:rPr>
        <w:t xml:space="preserve">. godini iznosili </w:t>
      </w:r>
      <w:r w:rsidR="0060736D">
        <w:rPr>
          <w:rFonts w:ascii="Times New Roman" w:hAnsi="Times New Roman"/>
        </w:rPr>
        <w:t>24</w:t>
      </w:r>
      <w:r w:rsidR="00BA7E1C">
        <w:rPr>
          <w:rFonts w:ascii="Times New Roman" w:hAnsi="Times New Roman"/>
        </w:rPr>
        <w:t xml:space="preserve"> mln kuna (</w:t>
      </w:r>
      <w:r w:rsidR="0060736D">
        <w:rPr>
          <w:rFonts w:ascii="Times New Roman" w:hAnsi="Times New Roman"/>
        </w:rPr>
        <w:t>povećanje</w:t>
      </w:r>
      <w:r w:rsidR="00BA7E1C">
        <w:rPr>
          <w:rFonts w:ascii="Times New Roman" w:hAnsi="Times New Roman"/>
        </w:rPr>
        <w:t xml:space="preserve"> za </w:t>
      </w:r>
      <w:r w:rsidR="0060736D">
        <w:rPr>
          <w:rFonts w:ascii="Times New Roman" w:hAnsi="Times New Roman"/>
        </w:rPr>
        <w:t>43,4</w:t>
      </w:r>
      <w:r w:rsidR="00BA7E1C">
        <w:rPr>
          <w:rFonts w:ascii="Times New Roman" w:hAnsi="Times New Roman"/>
        </w:rPr>
        <w:t xml:space="preserve"> poso)</w:t>
      </w:r>
      <w:r w:rsidR="004C744B" w:rsidRPr="00235530">
        <w:rPr>
          <w:rFonts w:ascii="Times New Roman" w:hAnsi="Times New Roman"/>
        </w:rPr>
        <w:t>.</w:t>
      </w:r>
      <w:r w:rsidR="0060736D">
        <w:rPr>
          <w:rFonts w:ascii="Times New Roman" w:hAnsi="Times New Roman"/>
        </w:rPr>
        <w:t xml:space="preserve"> </w:t>
      </w:r>
      <w:r w:rsidR="00BA7E1C">
        <w:rPr>
          <w:rFonts w:ascii="Times New Roman" w:hAnsi="Times New Roman"/>
        </w:rPr>
        <w:t>P</w:t>
      </w:r>
      <w:r w:rsidR="00BA7E1C" w:rsidRPr="00235530">
        <w:rPr>
          <w:rFonts w:ascii="Times New Roman" w:hAnsi="Times New Roman"/>
        </w:rPr>
        <w:t>rihodi od naknada za otkopanu količinu neenergetskih mineralnih sirovina ostvareni su u 201</w:t>
      </w:r>
      <w:r w:rsidR="0060736D">
        <w:rPr>
          <w:rFonts w:ascii="Times New Roman" w:hAnsi="Times New Roman"/>
        </w:rPr>
        <w:t>9</w:t>
      </w:r>
      <w:r w:rsidR="00BA7E1C" w:rsidRPr="00235530">
        <w:rPr>
          <w:rFonts w:ascii="Times New Roman" w:hAnsi="Times New Roman"/>
        </w:rPr>
        <w:t xml:space="preserve">. godini u iznosu od </w:t>
      </w:r>
      <w:r w:rsidR="0060736D">
        <w:rPr>
          <w:rFonts w:ascii="Times New Roman" w:hAnsi="Times New Roman"/>
        </w:rPr>
        <w:t>30,0</w:t>
      </w:r>
      <w:r w:rsidR="00BA7E1C" w:rsidRPr="00235530">
        <w:rPr>
          <w:rFonts w:ascii="Times New Roman" w:hAnsi="Times New Roman"/>
        </w:rPr>
        <w:t xml:space="preserve"> mln kuna, a u 201</w:t>
      </w:r>
      <w:r w:rsidR="0060736D">
        <w:rPr>
          <w:rFonts w:ascii="Times New Roman" w:hAnsi="Times New Roman"/>
        </w:rPr>
        <w:t>8</w:t>
      </w:r>
      <w:r w:rsidR="00BA7E1C" w:rsidRPr="00235530">
        <w:rPr>
          <w:rFonts w:ascii="Times New Roman" w:hAnsi="Times New Roman"/>
        </w:rPr>
        <w:t xml:space="preserve">. godini </w:t>
      </w:r>
      <w:r w:rsidR="0060736D">
        <w:rPr>
          <w:rFonts w:ascii="Times New Roman" w:hAnsi="Times New Roman"/>
        </w:rPr>
        <w:t>u iznosu od 25,8</w:t>
      </w:r>
      <w:r w:rsidR="00BA7E1C" w:rsidRPr="00235530">
        <w:rPr>
          <w:rFonts w:ascii="Times New Roman" w:hAnsi="Times New Roman"/>
        </w:rPr>
        <w:t xml:space="preserve"> mln kuna (</w:t>
      </w:r>
      <w:r w:rsidR="00BA7E1C">
        <w:rPr>
          <w:rFonts w:ascii="Times New Roman" w:hAnsi="Times New Roman"/>
        </w:rPr>
        <w:t>povećanje</w:t>
      </w:r>
      <w:r w:rsidR="00BA7E1C" w:rsidRPr="00235530">
        <w:rPr>
          <w:rFonts w:ascii="Times New Roman" w:hAnsi="Times New Roman"/>
        </w:rPr>
        <w:t xml:space="preserve"> za </w:t>
      </w:r>
      <w:r w:rsidR="0060736D">
        <w:rPr>
          <w:rFonts w:ascii="Times New Roman" w:hAnsi="Times New Roman"/>
        </w:rPr>
        <w:t>16,4</w:t>
      </w:r>
      <w:r w:rsidR="00BA7E1C" w:rsidRPr="00235530">
        <w:rPr>
          <w:rFonts w:ascii="Times New Roman" w:hAnsi="Times New Roman"/>
        </w:rPr>
        <w:t xml:space="preserve"> posto)</w:t>
      </w:r>
      <w:r w:rsidR="00BA7E1C">
        <w:rPr>
          <w:rFonts w:ascii="Times New Roman" w:hAnsi="Times New Roman"/>
        </w:rPr>
        <w:t>, p</w:t>
      </w:r>
      <w:r w:rsidR="004B7FD4" w:rsidRPr="00235530">
        <w:rPr>
          <w:rFonts w:ascii="Times New Roman" w:hAnsi="Times New Roman"/>
        </w:rPr>
        <w:t xml:space="preserve">rihodi od naknada za pridobivenu količinu energetskih mineralnih sirovina za plin ostvareni su u </w:t>
      </w:r>
      <w:r w:rsidR="00322F0E" w:rsidRPr="00235530">
        <w:rPr>
          <w:rFonts w:ascii="Times New Roman" w:hAnsi="Times New Roman"/>
        </w:rPr>
        <w:t>201</w:t>
      </w:r>
      <w:r w:rsidR="0060736D">
        <w:rPr>
          <w:rFonts w:ascii="Times New Roman" w:hAnsi="Times New Roman"/>
        </w:rPr>
        <w:t>9</w:t>
      </w:r>
      <w:r w:rsidR="004B7FD4" w:rsidRPr="00235530">
        <w:rPr>
          <w:rFonts w:ascii="Times New Roman" w:hAnsi="Times New Roman"/>
        </w:rPr>
        <w:t xml:space="preserve">. godini  iznosu od </w:t>
      </w:r>
      <w:r w:rsidR="0060736D">
        <w:rPr>
          <w:rFonts w:ascii="Times New Roman" w:hAnsi="Times New Roman"/>
        </w:rPr>
        <w:t>104,5</w:t>
      </w:r>
      <w:r w:rsidR="004B7FD4" w:rsidRPr="00235530">
        <w:rPr>
          <w:rFonts w:ascii="Times New Roman" w:hAnsi="Times New Roman"/>
        </w:rPr>
        <w:t xml:space="preserve"> mln kuna, a u </w:t>
      </w:r>
      <w:r w:rsidR="00322F0E" w:rsidRPr="00235530">
        <w:rPr>
          <w:rFonts w:ascii="Times New Roman" w:hAnsi="Times New Roman"/>
        </w:rPr>
        <w:t>201</w:t>
      </w:r>
      <w:r w:rsidR="0060736D">
        <w:rPr>
          <w:rFonts w:ascii="Times New Roman" w:hAnsi="Times New Roman"/>
        </w:rPr>
        <w:t>8</w:t>
      </w:r>
      <w:r w:rsidR="004B7FD4" w:rsidRPr="00235530">
        <w:rPr>
          <w:rFonts w:ascii="Times New Roman" w:hAnsi="Times New Roman"/>
        </w:rPr>
        <w:t xml:space="preserve">. godini u iznosu od </w:t>
      </w:r>
      <w:r w:rsidR="0060736D">
        <w:rPr>
          <w:rFonts w:ascii="Times New Roman" w:hAnsi="Times New Roman"/>
        </w:rPr>
        <w:t>117,7</w:t>
      </w:r>
      <w:r w:rsidR="004B7FD4" w:rsidRPr="00235530">
        <w:rPr>
          <w:rFonts w:ascii="Times New Roman" w:hAnsi="Times New Roman"/>
        </w:rPr>
        <w:t xml:space="preserve"> mln kuna</w:t>
      </w:r>
      <w:r w:rsidR="00322F0E" w:rsidRPr="00235530">
        <w:rPr>
          <w:rFonts w:ascii="Times New Roman" w:hAnsi="Times New Roman"/>
        </w:rPr>
        <w:t xml:space="preserve"> (</w:t>
      </w:r>
      <w:r w:rsidR="0060736D">
        <w:rPr>
          <w:rFonts w:ascii="Times New Roman" w:hAnsi="Times New Roman"/>
        </w:rPr>
        <w:t>smanjenje</w:t>
      </w:r>
      <w:r w:rsidR="00322F0E" w:rsidRPr="00235530">
        <w:rPr>
          <w:rFonts w:ascii="Times New Roman" w:hAnsi="Times New Roman"/>
        </w:rPr>
        <w:t xml:space="preserve"> </w:t>
      </w:r>
      <w:r w:rsidR="004C744B" w:rsidRPr="00235530">
        <w:rPr>
          <w:rFonts w:ascii="Times New Roman" w:hAnsi="Times New Roman"/>
        </w:rPr>
        <w:t>za</w:t>
      </w:r>
      <w:r w:rsidR="00322F0E" w:rsidRPr="00235530">
        <w:rPr>
          <w:rFonts w:ascii="Times New Roman" w:hAnsi="Times New Roman"/>
        </w:rPr>
        <w:t xml:space="preserve"> </w:t>
      </w:r>
      <w:r w:rsidR="0060736D">
        <w:rPr>
          <w:rFonts w:ascii="Times New Roman" w:hAnsi="Times New Roman"/>
        </w:rPr>
        <w:t>11,2</w:t>
      </w:r>
      <w:r w:rsidR="00322F0E" w:rsidRPr="00235530">
        <w:rPr>
          <w:rFonts w:ascii="Times New Roman" w:hAnsi="Times New Roman"/>
        </w:rPr>
        <w:t xml:space="preserve"> posto)</w:t>
      </w:r>
      <w:r w:rsidR="004B7FD4" w:rsidRPr="00235530">
        <w:rPr>
          <w:rFonts w:ascii="Times New Roman" w:hAnsi="Times New Roman"/>
        </w:rPr>
        <w:t xml:space="preserve">, prihodi od naknada za pridobivenu količinu energetskih mineralnih sirovina za naftu i kondenzat iznose u </w:t>
      </w:r>
      <w:r w:rsidR="00322F0E" w:rsidRPr="00235530">
        <w:rPr>
          <w:rFonts w:ascii="Times New Roman" w:hAnsi="Times New Roman"/>
        </w:rPr>
        <w:t>201</w:t>
      </w:r>
      <w:r w:rsidR="0060736D">
        <w:rPr>
          <w:rFonts w:ascii="Times New Roman" w:hAnsi="Times New Roman"/>
        </w:rPr>
        <w:t>9</w:t>
      </w:r>
      <w:r w:rsidR="004B7FD4" w:rsidRPr="00235530">
        <w:rPr>
          <w:rFonts w:ascii="Times New Roman" w:hAnsi="Times New Roman"/>
        </w:rPr>
        <w:t xml:space="preserve">. godini </w:t>
      </w:r>
      <w:r w:rsidR="0060736D">
        <w:rPr>
          <w:rFonts w:ascii="Times New Roman" w:hAnsi="Times New Roman"/>
        </w:rPr>
        <w:t>205,7</w:t>
      </w:r>
      <w:r w:rsidR="004B7FD4" w:rsidRPr="00235530">
        <w:rPr>
          <w:rFonts w:ascii="Times New Roman" w:hAnsi="Times New Roman"/>
        </w:rPr>
        <w:t xml:space="preserve"> mln kuna, a u </w:t>
      </w:r>
      <w:r w:rsidR="00322F0E" w:rsidRPr="00235530">
        <w:rPr>
          <w:rFonts w:ascii="Times New Roman" w:hAnsi="Times New Roman"/>
        </w:rPr>
        <w:t>201</w:t>
      </w:r>
      <w:r w:rsidR="0060736D">
        <w:rPr>
          <w:rFonts w:ascii="Times New Roman" w:hAnsi="Times New Roman"/>
        </w:rPr>
        <w:t>8</w:t>
      </w:r>
      <w:r w:rsidR="004B7FD4" w:rsidRPr="00235530">
        <w:rPr>
          <w:rFonts w:ascii="Times New Roman" w:hAnsi="Times New Roman"/>
        </w:rPr>
        <w:t xml:space="preserve">. godini </w:t>
      </w:r>
      <w:r w:rsidR="0060736D">
        <w:rPr>
          <w:rFonts w:ascii="Times New Roman" w:hAnsi="Times New Roman"/>
        </w:rPr>
        <w:t>209,5</w:t>
      </w:r>
      <w:r w:rsidR="004B7FD4" w:rsidRPr="00235530">
        <w:rPr>
          <w:rFonts w:ascii="Times New Roman" w:hAnsi="Times New Roman"/>
        </w:rPr>
        <w:t xml:space="preserve"> mln kuna</w:t>
      </w:r>
      <w:r w:rsidR="00322F0E" w:rsidRPr="00235530">
        <w:rPr>
          <w:rFonts w:ascii="Times New Roman" w:hAnsi="Times New Roman"/>
        </w:rPr>
        <w:t xml:space="preserve"> (</w:t>
      </w:r>
      <w:r w:rsidR="0060736D">
        <w:rPr>
          <w:rFonts w:ascii="Times New Roman" w:hAnsi="Times New Roman"/>
        </w:rPr>
        <w:t>smanjenje za</w:t>
      </w:r>
      <w:r w:rsidR="00322F0E" w:rsidRPr="00235530">
        <w:rPr>
          <w:rFonts w:ascii="Times New Roman" w:hAnsi="Times New Roman"/>
        </w:rPr>
        <w:t xml:space="preserve"> </w:t>
      </w:r>
      <w:r w:rsidR="0060736D">
        <w:rPr>
          <w:rFonts w:ascii="Times New Roman" w:hAnsi="Times New Roman"/>
        </w:rPr>
        <w:t>1,8</w:t>
      </w:r>
      <w:r w:rsidR="00FE777B">
        <w:rPr>
          <w:rFonts w:ascii="Times New Roman" w:hAnsi="Times New Roman"/>
        </w:rPr>
        <w:t xml:space="preserve"> posto)</w:t>
      </w:r>
      <w:r w:rsidR="004B7FD4" w:rsidRPr="00235530">
        <w:rPr>
          <w:rFonts w:ascii="Times New Roman" w:hAnsi="Times New Roman"/>
        </w:rPr>
        <w:t xml:space="preserve">. Prihodi </w:t>
      </w:r>
      <w:r w:rsidR="00BA7E1C">
        <w:rPr>
          <w:rFonts w:ascii="Times New Roman" w:hAnsi="Times New Roman"/>
        </w:rPr>
        <w:t xml:space="preserve">ostvareni </w:t>
      </w:r>
      <w:r w:rsidR="004B7FD4" w:rsidRPr="00235530">
        <w:rPr>
          <w:rFonts w:ascii="Times New Roman" w:hAnsi="Times New Roman"/>
        </w:rPr>
        <w:t xml:space="preserve">s osnova naknade za koncesiju za izgradnju i upravljanje zračnom lukom u </w:t>
      </w:r>
      <w:r w:rsidR="00322F0E" w:rsidRPr="00235530">
        <w:rPr>
          <w:rFonts w:ascii="Times New Roman" w:hAnsi="Times New Roman"/>
        </w:rPr>
        <w:t>201</w:t>
      </w:r>
      <w:r w:rsidR="0060736D">
        <w:rPr>
          <w:rFonts w:ascii="Times New Roman" w:hAnsi="Times New Roman"/>
        </w:rPr>
        <w:t>9</w:t>
      </w:r>
      <w:r w:rsidR="004B7FD4" w:rsidRPr="00235530">
        <w:rPr>
          <w:rFonts w:ascii="Times New Roman" w:hAnsi="Times New Roman"/>
        </w:rPr>
        <w:t xml:space="preserve">. godini iznosili su </w:t>
      </w:r>
      <w:r w:rsidR="0060736D">
        <w:rPr>
          <w:rFonts w:ascii="Times New Roman" w:hAnsi="Times New Roman"/>
        </w:rPr>
        <w:t>39,0</w:t>
      </w:r>
      <w:r w:rsidR="004B7FD4" w:rsidRPr="00235530">
        <w:rPr>
          <w:rFonts w:ascii="Times New Roman" w:hAnsi="Times New Roman"/>
        </w:rPr>
        <w:t xml:space="preserve"> mln kuna, dok su u </w:t>
      </w:r>
      <w:r w:rsidR="00322F0E" w:rsidRPr="00235530">
        <w:rPr>
          <w:rFonts w:ascii="Times New Roman" w:hAnsi="Times New Roman"/>
        </w:rPr>
        <w:t>201</w:t>
      </w:r>
      <w:r w:rsidR="0060736D">
        <w:rPr>
          <w:rFonts w:ascii="Times New Roman" w:hAnsi="Times New Roman"/>
        </w:rPr>
        <w:t>8</w:t>
      </w:r>
      <w:r w:rsidR="004B7FD4" w:rsidRPr="00235530">
        <w:rPr>
          <w:rFonts w:ascii="Times New Roman" w:hAnsi="Times New Roman"/>
        </w:rPr>
        <w:t xml:space="preserve">. godini iznosili </w:t>
      </w:r>
      <w:r w:rsidR="0060736D">
        <w:rPr>
          <w:rFonts w:ascii="Times New Roman" w:hAnsi="Times New Roman"/>
        </w:rPr>
        <w:t>28,1</w:t>
      </w:r>
      <w:r w:rsidR="004B7FD4" w:rsidRPr="00235530">
        <w:rPr>
          <w:rFonts w:ascii="Times New Roman" w:hAnsi="Times New Roman"/>
        </w:rPr>
        <w:t xml:space="preserve"> mln kuna</w:t>
      </w:r>
      <w:r w:rsidR="00322F0E" w:rsidRPr="00235530">
        <w:rPr>
          <w:rFonts w:ascii="Times New Roman" w:hAnsi="Times New Roman"/>
        </w:rPr>
        <w:t xml:space="preserve"> (</w:t>
      </w:r>
      <w:r w:rsidR="00BA7E1C">
        <w:rPr>
          <w:rFonts w:ascii="Times New Roman" w:hAnsi="Times New Roman"/>
        </w:rPr>
        <w:t>smanjenje</w:t>
      </w:r>
      <w:r w:rsidR="00322F0E" w:rsidRPr="00235530">
        <w:rPr>
          <w:rFonts w:ascii="Times New Roman" w:hAnsi="Times New Roman"/>
        </w:rPr>
        <w:t xml:space="preserve"> od </w:t>
      </w:r>
      <w:r w:rsidR="00BA7E1C">
        <w:rPr>
          <w:rFonts w:ascii="Times New Roman" w:hAnsi="Times New Roman"/>
        </w:rPr>
        <w:t>38,7</w:t>
      </w:r>
      <w:r w:rsidR="00322F0E" w:rsidRPr="00235530">
        <w:rPr>
          <w:rFonts w:ascii="Times New Roman" w:hAnsi="Times New Roman"/>
        </w:rPr>
        <w:t xml:space="preserve"> posto)</w:t>
      </w:r>
      <w:r w:rsidR="00BA7E1C">
        <w:rPr>
          <w:rFonts w:ascii="Times New Roman" w:hAnsi="Times New Roman"/>
        </w:rPr>
        <w:t>.</w:t>
      </w:r>
    </w:p>
    <w:p w14:paraId="7D330573" w14:textId="77777777" w:rsidR="004B7FD4" w:rsidRPr="00235530" w:rsidRDefault="004B7FD4" w:rsidP="004B7FD4">
      <w:pPr>
        <w:spacing w:after="0" w:line="240" w:lineRule="auto"/>
        <w:jc w:val="both"/>
        <w:rPr>
          <w:rFonts w:ascii="Times New Roman" w:hAnsi="Times New Roman"/>
          <w:b/>
        </w:rPr>
      </w:pPr>
    </w:p>
    <w:p w14:paraId="7D330574" w14:textId="77777777" w:rsidR="004B7FD4" w:rsidRPr="00235530" w:rsidRDefault="00322F0E" w:rsidP="004B7FD4">
      <w:pPr>
        <w:spacing w:after="0" w:line="240" w:lineRule="auto"/>
        <w:jc w:val="both"/>
        <w:rPr>
          <w:rFonts w:ascii="Times New Roman" w:hAnsi="Times New Roman"/>
        </w:rPr>
      </w:pPr>
      <w:r w:rsidRPr="00C6667B">
        <w:rPr>
          <w:rFonts w:ascii="Times New Roman" w:hAnsi="Times New Roman"/>
          <w:b/>
        </w:rPr>
        <w:t xml:space="preserve">Zajednički prihodi </w:t>
      </w:r>
      <w:r w:rsidR="004B7FD4" w:rsidRPr="00C6667B">
        <w:rPr>
          <w:rFonts w:ascii="Times New Roman" w:hAnsi="Times New Roman"/>
          <w:b/>
        </w:rPr>
        <w:t>državnog</w:t>
      </w:r>
      <w:r w:rsidR="004B7FD4" w:rsidRPr="00235530">
        <w:rPr>
          <w:rFonts w:ascii="Times New Roman" w:hAnsi="Times New Roman"/>
          <w:b/>
        </w:rPr>
        <w:t xml:space="preserve"> proračuna </w:t>
      </w:r>
      <w:r w:rsidRPr="00235530">
        <w:rPr>
          <w:rFonts w:ascii="Times New Roman" w:hAnsi="Times New Roman"/>
          <w:b/>
        </w:rPr>
        <w:t xml:space="preserve">i županijskog </w:t>
      </w:r>
      <w:r w:rsidR="004B7FD4" w:rsidRPr="00235530">
        <w:rPr>
          <w:rFonts w:ascii="Times New Roman" w:hAnsi="Times New Roman"/>
          <w:b/>
        </w:rPr>
        <w:t xml:space="preserve">proračuna </w:t>
      </w:r>
      <w:r w:rsidR="004B7FD4" w:rsidRPr="00235530">
        <w:rPr>
          <w:rFonts w:ascii="Times New Roman" w:hAnsi="Times New Roman"/>
        </w:rPr>
        <w:t xml:space="preserve">ostvareni su u iznosu od </w:t>
      </w:r>
      <w:r w:rsidR="00BD41B0">
        <w:rPr>
          <w:rFonts w:ascii="Times New Roman" w:hAnsi="Times New Roman"/>
        </w:rPr>
        <w:t>13,2</w:t>
      </w:r>
      <w:r w:rsidR="004B7FD4" w:rsidRPr="00235530">
        <w:rPr>
          <w:rFonts w:ascii="Times New Roman" w:hAnsi="Times New Roman"/>
        </w:rPr>
        <w:t xml:space="preserve"> mln kuna u  </w:t>
      </w:r>
      <w:r w:rsidRPr="00235530">
        <w:rPr>
          <w:rFonts w:ascii="Times New Roman" w:hAnsi="Times New Roman"/>
        </w:rPr>
        <w:t>201</w:t>
      </w:r>
      <w:r w:rsidR="00BD41B0">
        <w:rPr>
          <w:rFonts w:ascii="Times New Roman" w:hAnsi="Times New Roman"/>
        </w:rPr>
        <w:t>9</w:t>
      </w:r>
      <w:r w:rsidR="004B7FD4" w:rsidRPr="00235530">
        <w:rPr>
          <w:rFonts w:ascii="Times New Roman" w:hAnsi="Times New Roman"/>
        </w:rPr>
        <w:t xml:space="preserve">. godini, </w:t>
      </w:r>
      <w:r w:rsidRPr="00235530">
        <w:rPr>
          <w:rFonts w:ascii="Times New Roman" w:hAnsi="Times New Roman"/>
        </w:rPr>
        <w:t>dok su</w:t>
      </w:r>
      <w:r w:rsidR="004B7FD4" w:rsidRPr="00235530">
        <w:rPr>
          <w:rFonts w:ascii="Times New Roman" w:hAnsi="Times New Roman"/>
        </w:rPr>
        <w:t xml:space="preserve"> u </w:t>
      </w:r>
      <w:r w:rsidRPr="00235530">
        <w:rPr>
          <w:rFonts w:ascii="Times New Roman" w:hAnsi="Times New Roman"/>
        </w:rPr>
        <w:t>201</w:t>
      </w:r>
      <w:r w:rsidR="00BD41B0">
        <w:rPr>
          <w:rFonts w:ascii="Times New Roman" w:hAnsi="Times New Roman"/>
        </w:rPr>
        <w:t>8</w:t>
      </w:r>
      <w:r w:rsidR="004B7FD4" w:rsidRPr="00235530">
        <w:rPr>
          <w:rFonts w:ascii="Times New Roman" w:hAnsi="Times New Roman"/>
        </w:rPr>
        <w:t xml:space="preserve">. godini </w:t>
      </w:r>
      <w:r w:rsidRPr="00235530">
        <w:rPr>
          <w:rFonts w:ascii="Times New Roman" w:hAnsi="Times New Roman"/>
        </w:rPr>
        <w:t xml:space="preserve">ostvareni u iznosu od </w:t>
      </w:r>
      <w:r w:rsidR="00BD41B0">
        <w:rPr>
          <w:rFonts w:ascii="Times New Roman" w:hAnsi="Times New Roman"/>
        </w:rPr>
        <w:t>11,0</w:t>
      </w:r>
      <w:r w:rsidRPr="00235530">
        <w:rPr>
          <w:rFonts w:ascii="Times New Roman" w:hAnsi="Times New Roman"/>
        </w:rPr>
        <w:t xml:space="preserve"> mln</w:t>
      </w:r>
      <w:r w:rsidR="00543499" w:rsidRPr="00235530">
        <w:rPr>
          <w:rFonts w:ascii="Times New Roman" w:hAnsi="Times New Roman"/>
        </w:rPr>
        <w:t xml:space="preserve"> </w:t>
      </w:r>
      <w:r w:rsidRPr="00235530">
        <w:rPr>
          <w:rFonts w:ascii="Times New Roman" w:hAnsi="Times New Roman"/>
        </w:rPr>
        <w:t>kuna (</w:t>
      </w:r>
      <w:r w:rsidR="00BD41B0">
        <w:rPr>
          <w:rFonts w:ascii="Times New Roman" w:hAnsi="Times New Roman"/>
        </w:rPr>
        <w:t>povećanje</w:t>
      </w:r>
      <w:r w:rsidRPr="00235530">
        <w:rPr>
          <w:rFonts w:ascii="Times New Roman" w:hAnsi="Times New Roman"/>
        </w:rPr>
        <w:t xml:space="preserve"> </w:t>
      </w:r>
      <w:r w:rsidR="00BD41B0">
        <w:rPr>
          <w:rFonts w:ascii="Times New Roman" w:hAnsi="Times New Roman"/>
        </w:rPr>
        <w:t>za</w:t>
      </w:r>
      <w:r w:rsidRPr="00235530">
        <w:rPr>
          <w:rFonts w:ascii="Times New Roman" w:hAnsi="Times New Roman"/>
        </w:rPr>
        <w:t xml:space="preserve"> </w:t>
      </w:r>
      <w:r w:rsidR="00BD41B0">
        <w:rPr>
          <w:rFonts w:ascii="Times New Roman" w:hAnsi="Times New Roman"/>
        </w:rPr>
        <w:t>20,2</w:t>
      </w:r>
      <w:r w:rsidRPr="00235530">
        <w:rPr>
          <w:rFonts w:ascii="Times New Roman" w:hAnsi="Times New Roman"/>
        </w:rPr>
        <w:t xml:space="preserve"> posto). </w:t>
      </w:r>
      <w:r w:rsidR="004C744B" w:rsidRPr="00235530">
        <w:rPr>
          <w:rFonts w:ascii="Times New Roman" w:hAnsi="Times New Roman"/>
        </w:rPr>
        <w:t>Tako su</w:t>
      </w:r>
      <w:r w:rsidR="004B7FD4" w:rsidRPr="00235530">
        <w:rPr>
          <w:rFonts w:ascii="Times New Roman" w:hAnsi="Times New Roman"/>
        </w:rPr>
        <w:t xml:space="preserve"> </w:t>
      </w:r>
      <w:r w:rsidRPr="00235530">
        <w:rPr>
          <w:rFonts w:ascii="Times New Roman" w:hAnsi="Times New Roman"/>
        </w:rPr>
        <w:t>201</w:t>
      </w:r>
      <w:r w:rsidR="00BD41B0">
        <w:rPr>
          <w:rFonts w:ascii="Times New Roman" w:hAnsi="Times New Roman"/>
        </w:rPr>
        <w:t>9</w:t>
      </w:r>
      <w:r w:rsidR="004B7FD4" w:rsidRPr="00235530">
        <w:rPr>
          <w:rFonts w:ascii="Times New Roman" w:hAnsi="Times New Roman"/>
        </w:rPr>
        <w:t xml:space="preserve">. godine prihodi od naknada za koncesiju prava lova iznosili </w:t>
      </w:r>
      <w:r w:rsidR="00BD41B0">
        <w:rPr>
          <w:rFonts w:ascii="Times New Roman" w:hAnsi="Times New Roman"/>
        </w:rPr>
        <w:t>8,0</w:t>
      </w:r>
      <w:r w:rsidR="004B7FD4" w:rsidRPr="00235530">
        <w:rPr>
          <w:rFonts w:ascii="Times New Roman" w:hAnsi="Times New Roman"/>
        </w:rPr>
        <w:t xml:space="preserve"> mln kuna</w:t>
      </w:r>
      <w:r w:rsidRPr="00235530">
        <w:rPr>
          <w:rFonts w:ascii="Times New Roman" w:hAnsi="Times New Roman"/>
        </w:rPr>
        <w:t xml:space="preserve">, te su ostali na istoj razini </w:t>
      </w:r>
      <w:r w:rsidR="00C6667B">
        <w:rPr>
          <w:rFonts w:ascii="Times New Roman" w:hAnsi="Times New Roman"/>
        </w:rPr>
        <w:t xml:space="preserve">kao i tijekom </w:t>
      </w:r>
      <w:r w:rsidR="004C744B" w:rsidRPr="00235530">
        <w:rPr>
          <w:rFonts w:ascii="Times New Roman" w:hAnsi="Times New Roman"/>
        </w:rPr>
        <w:t>201</w:t>
      </w:r>
      <w:r w:rsidR="00BD41B0">
        <w:rPr>
          <w:rFonts w:ascii="Times New Roman" w:hAnsi="Times New Roman"/>
        </w:rPr>
        <w:t>8</w:t>
      </w:r>
      <w:r w:rsidR="004B7FD4" w:rsidRPr="00235530">
        <w:rPr>
          <w:rFonts w:ascii="Times New Roman" w:hAnsi="Times New Roman"/>
        </w:rPr>
        <w:t>. godin</w:t>
      </w:r>
      <w:r w:rsidRPr="00235530">
        <w:rPr>
          <w:rFonts w:ascii="Times New Roman" w:hAnsi="Times New Roman"/>
        </w:rPr>
        <w:t>e</w:t>
      </w:r>
      <w:r w:rsidR="004B7FD4" w:rsidRPr="00235530">
        <w:rPr>
          <w:rFonts w:ascii="Times New Roman" w:hAnsi="Times New Roman"/>
        </w:rPr>
        <w:t xml:space="preserve">, a prihodi od naknada za koncesiju za gospodarsko korištenje voda iznosili su u </w:t>
      </w:r>
      <w:r w:rsidRPr="00235530">
        <w:rPr>
          <w:rFonts w:ascii="Times New Roman" w:hAnsi="Times New Roman"/>
        </w:rPr>
        <w:t>201</w:t>
      </w:r>
      <w:r w:rsidR="00BD41B0">
        <w:rPr>
          <w:rFonts w:ascii="Times New Roman" w:hAnsi="Times New Roman"/>
        </w:rPr>
        <w:t>9</w:t>
      </w:r>
      <w:r w:rsidR="004B7FD4" w:rsidRPr="00235530">
        <w:rPr>
          <w:rFonts w:ascii="Times New Roman" w:hAnsi="Times New Roman"/>
        </w:rPr>
        <w:t xml:space="preserve">. godini </w:t>
      </w:r>
      <w:r w:rsidR="00BD41B0">
        <w:rPr>
          <w:rFonts w:ascii="Times New Roman" w:hAnsi="Times New Roman"/>
        </w:rPr>
        <w:t>5,2</w:t>
      </w:r>
      <w:r w:rsidRPr="00235530">
        <w:rPr>
          <w:rFonts w:ascii="Times New Roman" w:hAnsi="Times New Roman"/>
        </w:rPr>
        <w:t xml:space="preserve"> mln kuna</w:t>
      </w:r>
      <w:r w:rsidR="00C6667B">
        <w:rPr>
          <w:rFonts w:ascii="Times New Roman" w:hAnsi="Times New Roman"/>
        </w:rPr>
        <w:t xml:space="preserve"> </w:t>
      </w:r>
      <w:r w:rsidR="00BD41B0">
        <w:rPr>
          <w:rFonts w:ascii="Times New Roman" w:hAnsi="Times New Roman"/>
        </w:rPr>
        <w:t>dok su u</w:t>
      </w:r>
      <w:r w:rsidR="004B7FD4" w:rsidRPr="00235530">
        <w:rPr>
          <w:rFonts w:ascii="Times New Roman" w:hAnsi="Times New Roman"/>
        </w:rPr>
        <w:t xml:space="preserve"> </w:t>
      </w:r>
      <w:r w:rsidRPr="00235530">
        <w:rPr>
          <w:rFonts w:ascii="Times New Roman" w:hAnsi="Times New Roman"/>
        </w:rPr>
        <w:t>201</w:t>
      </w:r>
      <w:r w:rsidR="00BD41B0">
        <w:rPr>
          <w:rFonts w:ascii="Times New Roman" w:hAnsi="Times New Roman"/>
        </w:rPr>
        <w:t>8</w:t>
      </w:r>
      <w:r w:rsidR="004B7FD4" w:rsidRPr="00235530">
        <w:rPr>
          <w:rFonts w:ascii="Times New Roman" w:hAnsi="Times New Roman"/>
        </w:rPr>
        <w:t>. godini</w:t>
      </w:r>
      <w:r w:rsidR="00BD41B0">
        <w:rPr>
          <w:rFonts w:ascii="Times New Roman" w:hAnsi="Times New Roman"/>
        </w:rPr>
        <w:t xml:space="preserve"> iznosili 2,9 mln kuna</w:t>
      </w:r>
      <w:r w:rsidR="00C6667B">
        <w:rPr>
          <w:rFonts w:ascii="Times New Roman" w:hAnsi="Times New Roman"/>
        </w:rPr>
        <w:t>.</w:t>
      </w:r>
      <w:r w:rsidR="004B7FD4" w:rsidRPr="00235530">
        <w:rPr>
          <w:rFonts w:ascii="Times New Roman" w:hAnsi="Times New Roman"/>
        </w:rPr>
        <w:t xml:space="preserve"> </w:t>
      </w:r>
    </w:p>
    <w:p w14:paraId="7D330575" w14:textId="77777777" w:rsidR="008C74A9" w:rsidRPr="00235530" w:rsidRDefault="008C74A9" w:rsidP="008C74A9">
      <w:pPr>
        <w:spacing w:after="0" w:line="240" w:lineRule="auto"/>
        <w:jc w:val="both"/>
        <w:rPr>
          <w:rFonts w:ascii="Times New Roman" w:hAnsi="Times New Roman"/>
          <w:b/>
          <w:highlight w:val="yellow"/>
        </w:rPr>
      </w:pPr>
    </w:p>
    <w:p w14:paraId="7D330576" w14:textId="77777777" w:rsidR="00536104" w:rsidRPr="00E128DC" w:rsidRDefault="008C74A9" w:rsidP="00E128DC">
      <w:pPr>
        <w:spacing w:after="0" w:line="240" w:lineRule="auto"/>
        <w:jc w:val="both"/>
        <w:rPr>
          <w:rFonts w:ascii="Times New Roman" w:hAnsi="Times New Roman"/>
        </w:rPr>
      </w:pPr>
      <w:r w:rsidRPr="00235530">
        <w:rPr>
          <w:rFonts w:ascii="Times New Roman" w:hAnsi="Times New Roman"/>
          <w:b/>
        </w:rPr>
        <w:t xml:space="preserve">Direktni prihodi JLPRS-a </w:t>
      </w:r>
      <w:r w:rsidRPr="00235530">
        <w:rPr>
          <w:rFonts w:ascii="Times New Roman" w:hAnsi="Times New Roman"/>
          <w:bCs/>
          <w:lang w:eastAsia="hr-HR"/>
        </w:rPr>
        <w:t xml:space="preserve">čine naknade za koncesije koje su sukladno zakonskim i podzakonskim aktima određene kao direktni prihod JLPRS-a, a </w:t>
      </w:r>
      <w:r w:rsidRPr="00235530">
        <w:rPr>
          <w:rFonts w:ascii="Times New Roman" w:hAnsi="Times New Roman"/>
        </w:rPr>
        <w:t>uključuju naknade od koncesija</w:t>
      </w:r>
      <w:r w:rsidR="004D1627">
        <w:rPr>
          <w:rFonts w:ascii="Times New Roman" w:hAnsi="Times New Roman"/>
        </w:rPr>
        <w:t xml:space="preserve"> (komunalne djelatnosti, koncesije za zdravstvo, naknade za zauzete površine odobrenih eksploatacijskih polja)</w:t>
      </w:r>
      <w:r w:rsidRPr="00235530">
        <w:rPr>
          <w:rFonts w:ascii="Times New Roman" w:hAnsi="Times New Roman"/>
        </w:rPr>
        <w:t xml:space="preserve"> i naknade od koncesijskih odobrenja, te u </w:t>
      </w:r>
      <w:r w:rsidR="00704959">
        <w:rPr>
          <w:rFonts w:ascii="Times New Roman" w:hAnsi="Times New Roman"/>
        </w:rPr>
        <w:t>201</w:t>
      </w:r>
      <w:r w:rsidR="00BD41B0">
        <w:rPr>
          <w:rFonts w:ascii="Times New Roman" w:hAnsi="Times New Roman"/>
        </w:rPr>
        <w:t>9</w:t>
      </w:r>
      <w:r w:rsidRPr="00235530">
        <w:rPr>
          <w:rFonts w:ascii="Times New Roman" w:hAnsi="Times New Roman"/>
        </w:rPr>
        <w:t xml:space="preserve">. godini iznose </w:t>
      </w:r>
      <w:r w:rsidR="00BD41B0">
        <w:rPr>
          <w:rFonts w:ascii="Times New Roman" w:hAnsi="Times New Roman"/>
        </w:rPr>
        <w:t>116,4</w:t>
      </w:r>
      <w:r w:rsidRPr="00235530">
        <w:rPr>
          <w:rFonts w:ascii="Times New Roman" w:hAnsi="Times New Roman"/>
        </w:rPr>
        <w:t xml:space="preserve"> mln </w:t>
      </w:r>
      <w:r w:rsidRPr="00235530">
        <w:rPr>
          <w:rFonts w:ascii="Times New Roman" w:hAnsi="Times New Roman"/>
        </w:rPr>
        <w:lastRenderedPageBreak/>
        <w:t xml:space="preserve">kuna, a u </w:t>
      </w:r>
      <w:r w:rsidR="00322F0E" w:rsidRPr="00235530">
        <w:rPr>
          <w:rFonts w:ascii="Times New Roman" w:hAnsi="Times New Roman"/>
        </w:rPr>
        <w:t>201</w:t>
      </w:r>
      <w:r w:rsidR="00BD41B0">
        <w:rPr>
          <w:rFonts w:ascii="Times New Roman" w:hAnsi="Times New Roman"/>
        </w:rPr>
        <w:t>8</w:t>
      </w:r>
      <w:r w:rsidRPr="00235530">
        <w:rPr>
          <w:rFonts w:ascii="Times New Roman" w:hAnsi="Times New Roman"/>
        </w:rPr>
        <w:t xml:space="preserve">. godini </w:t>
      </w:r>
      <w:r w:rsidR="00704959">
        <w:rPr>
          <w:rFonts w:ascii="Times New Roman" w:hAnsi="Times New Roman"/>
        </w:rPr>
        <w:t xml:space="preserve">iznosili su </w:t>
      </w:r>
      <w:r w:rsidR="00BD41B0">
        <w:rPr>
          <w:rFonts w:ascii="Times New Roman" w:hAnsi="Times New Roman"/>
        </w:rPr>
        <w:t>111,4</w:t>
      </w:r>
      <w:r w:rsidRPr="00235530">
        <w:rPr>
          <w:rFonts w:ascii="Times New Roman" w:hAnsi="Times New Roman"/>
        </w:rPr>
        <w:t xml:space="preserve"> mln kuna. </w:t>
      </w:r>
      <w:r w:rsidR="005B5103">
        <w:rPr>
          <w:rFonts w:ascii="Times New Roman" w:hAnsi="Times New Roman"/>
        </w:rPr>
        <w:t>Prihodi s osnova naknade za zauzetu površinu (prihodi općina/gradova)</w:t>
      </w:r>
      <w:r w:rsidR="00FB7CB4">
        <w:rPr>
          <w:rFonts w:ascii="Times New Roman" w:hAnsi="Times New Roman"/>
        </w:rPr>
        <w:t xml:space="preserve"> </w:t>
      </w:r>
      <w:r w:rsidR="005B5103">
        <w:rPr>
          <w:rFonts w:ascii="Times New Roman" w:hAnsi="Times New Roman"/>
        </w:rPr>
        <w:t>iz područja rudarstva su iznosili 8,9 mln kuna</w:t>
      </w:r>
      <w:r w:rsidR="00FB7CB4">
        <w:rPr>
          <w:rFonts w:ascii="Times New Roman" w:hAnsi="Times New Roman"/>
        </w:rPr>
        <w:t xml:space="preserve"> u 2018. godini</w:t>
      </w:r>
      <w:r w:rsidR="005B5103">
        <w:rPr>
          <w:rFonts w:ascii="Times New Roman" w:hAnsi="Times New Roman"/>
        </w:rPr>
        <w:t xml:space="preserve">, a u 2019. godini 10,0 mln kuna. </w:t>
      </w:r>
      <w:r w:rsidRPr="00235530">
        <w:rPr>
          <w:rFonts w:ascii="Times New Roman" w:hAnsi="Times New Roman"/>
        </w:rPr>
        <w:t>Prihodi gradova, općina i županija s osnova naknade za koncesije odnosi se na vlastite prihode koji se ne dijele sa državnim proračunom, te predstavljaju isključivo prihod JLPRS-a.</w:t>
      </w:r>
      <w:r w:rsidR="00AB738E" w:rsidRPr="00235530">
        <w:rPr>
          <w:rFonts w:ascii="Times New Roman" w:hAnsi="Times New Roman"/>
        </w:rPr>
        <w:t xml:space="preserve"> </w:t>
      </w:r>
      <w:r w:rsidR="001D4759" w:rsidRPr="00235530">
        <w:rPr>
          <w:rFonts w:ascii="Times New Roman" w:hAnsi="Times New Roman"/>
        </w:rPr>
        <w:t xml:space="preserve">Slika 1. prikazuje ukupne iznose prihoda od naknada za koncesiju prema vrstama proračuna . </w:t>
      </w:r>
    </w:p>
    <w:p w14:paraId="7D330577" w14:textId="77777777" w:rsidR="006409A4" w:rsidRDefault="006409A4" w:rsidP="001D4759">
      <w:pPr>
        <w:spacing w:after="0"/>
        <w:jc w:val="both"/>
        <w:rPr>
          <w:rFonts w:ascii="Times New Roman" w:hAnsi="Times New Roman"/>
          <w:b/>
          <w:sz w:val="20"/>
          <w:szCs w:val="20"/>
        </w:rPr>
      </w:pPr>
    </w:p>
    <w:p w14:paraId="7D330578" w14:textId="77777777" w:rsidR="001D4759" w:rsidRPr="00332C42" w:rsidRDefault="001D4759" w:rsidP="001D4759">
      <w:pPr>
        <w:spacing w:after="0"/>
        <w:jc w:val="both"/>
        <w:rPr>
          <w:rFonts w:ascii="Times New Roman" w:hAnsi="Times New Roman"/>
          <w:sz w:val="20"/>
          <w:szCs w:val="20"/>
        </w:rPr>
      </w:pPr>
      <w:r w:rsidRPr="00332C42">
        <w:rPr>
          <w:rFonts w:ascii="Times New Roman" w:hAnsi="Times New Roman"/>
          <w:b/>
          <w:sz w:val="20"/>
          <w:szCs w:val="20"/>
        </w:rPr>
        <w:t>Slika 1.</w:t>
      </w:r>
      <w:r w:rsidRPr="00332C42">
        <w:rPr>
          <w:rFonts w:ascii="Times New Roman" w:hAnsi="Times New Roman"/>
          <w:sz w:val="20"/>
          <w:szCs w:val="20"/>
        </w:rPr>
        <w:t xml:space="preserve"> Prihodi u 201</w:t>
      </w:r>
      <w:r w:rsidR="004E2606">
        <w:rPr>
          <w:rFonts w:ascii="Times New Roman" w:hAnsi="Times New Roman"/>
          <w:sz w:val="20"/>
          <w:szCs w:val="20"/>
        </w:rPr>
        <w:t>8</w:t>
      </w:r>
      <w:r w:rsidRPr="00332C42">
        <w:rPr>
          <w:rFonts w:ascii="Times New Roman" w:hAnsi="Times New Roman"/>
          <w:sz w:val="20"/>
          <w:szCs w:val="20"/>
        </w:rPr>
        <w:t>. i 201</w:t>
      </w:r>
      <w:r w:rsidR="004E2606">
        <w:rPr>
          <w:rFonts w:ascii="Times New Roman" w:hAnsi="Times New Roman"/>
          <w:sz w:val="20"/>
          <w:szCs w:val="20"/>
        </w:rPr>
        <w:t>9</w:t>
      </w:r>
      <w:r w:rsidRPr="00332C42">
        <w:rPr>
          <w:rFonts w:ascii="Times New Roman" w:hAnsi="Times New Roman"/>
          <w:sz w:val="20"/>
          <w:szCs w:val="20"/>
        </w:rPr>
        <w:t xml:space="preserve">. </w:t>
      </w:r>
      <w:r w:rsidR="00DF61AA" w:rsidRPr="00332C42">
        <w:rPr>
          <w:rFonts w:ascii="Times New Roman" w:hAnsi="Times New Roman"/>
          <w:sz w:val="20"/>
          <w:szCs w:val="20"/>
        </w:rPr>
        <w:t>godine</w:t>
      </w:r>
      <w:r w:rsidR="00AB738E" w:rsidRPr="00332C42">
        <w:rPr>
          <w:rFonts w:ascii="Times New Roman" w:hAnsi="Times New Roman"/>
          <w:sz w:val="20"/>
          <w:szCs w:val="20"/>
        </w:rPr>
        <w:t xml:space="preserve"> (mln kuna)</w:t>
      </w:r>
    </w:p>
    <w:p w14:paraId="7D330579" w14:textId="77777777" w:rsidR="00301844" w:rsidRPr="00332C42" w:rsidRDefault="00332C42" w:rsidP="00301844">
      <w:pPr>
        <w:autoSpaceDE w:val="0"/>
        <w:autoSpaceDN w:val="0"/>
        <w:adjustRightInd w:val="0"/>
        <w:spacing w:after="0" w:line="240" w:lineRule="auto"/>
        <w:jc w:val="both"/>
        <w:rPr>
          <w:rFonts w:ascii="Times New Roman" w:hAnsi="Times New Roman"/>
          <w:lang w:eastAsia="hr-HR"/>
        </w:rPr>
      </w:pPr>
      <w:r w:rsidRPr="00332C42">
        <w:rPr>
          <w:noProof/>
          <w:lang w:eastAsia="hr-HR"/>
        </w:rPr>
        <w:drawing>
          <wp:inline distT="0" distB="0" distL="0" distR="0" wp14:anchorId="7D3306DC" wp14:editId="7D3306DD">
            <wp:extent cx="4284000" cy="1955867"/>
            <wp:effectExtent l="0" t="0" r="2540" b="635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3738" cy="1955747"/>
                    </a:xfrm>
                    <a:prstGeom prst="rect">
                      <a:avLst/>
                    </a:prstGeom>
                    <a:noFill/>
                    <a:ln>
                      <a:noFill/>
                    </a:ln>
                  </pic:spPr>
                </pic:pic>
              </a:graphicData>
            </a:graphic>
          </wp:inline>
        </w:drawing>
      </w:r>
    </w:p>
    <w:p w14:paraId="7D33057A" w14:textId="77777777" w:rsidR="00A1153A" w:rsidRPr="00235530" w:rsidRDefault="001D4759" w:rsidP="007E72E6">
      <w:pPr>
        <w:autoSpaceDE w:val="0"/>
        <w:autoSpaceDN w:val="0"/>
        <w:adjustRightInd w:val="0"/>
        <w:spacing w:after="0" w:line="240" w:lineRule="auto"/>
        <w:jc w:val="both"/>
        <w:rPr>
          <w:rFonts w:ascii="Times New Roman" w:hAnsi="Times New Roman"/>
          <w:lang w:eastAsia="hr-HR"/>
        </w:rPr>
      </w:pPr>
      <w:r w:rsidRPr="00332C42">
        <w:rPr>
          <w:rFonts w:ascii="Times New Roman" w:hAnsi="Times New Roman"/>
          <w:b/>
          <w:sz w:val="18"/>
          <w:szCs w:val="18"/>
        </w:rPr>
        <w:t>Izvor:</w:t>
      </w:r>
      <w:r w:rsidR="004D5710" w:rsidRPr="00332C42">
        <w:rPr>
          <w:rFonts w:ascii="Times New Roman" w:hAnsi="Times New Roman"/>
          <w:b/>
          <w:sz w:val="18"/>
          <w:szCs w:val="18"/>
        </w:rPr>
        <w:t xml:space="preserve"> </w:t>
      </w:r>
      <w:r w:rsidRPr="00332C42">
        <w:rPr>
          <w:rFonts w:ascii="Times New Roman" w:hAnsi="Times New Roman"/>
          <w:sz w:val="18"/>
          <w:szCs w:val="18"/>
        </w:rPr>
        <w:t>FINA, Državna</w:t>
      </w:r>
      <w:r w:rsidR="00AF1895" w:rsidRPr="00332C42">
        <w:rPr>
          <w:rFonts w:ascii="Times New Roman" w:hAnsi="Times New Roman"/>
          <w:sz w:val="18"/>
          <w:szCs w:val="18"/>
        </w:rPr>
        <w:t xml:space="preserve"> riznica</w:t>
      </w:r>
    </w:p>
    <w:p w14:paraId="7D33057B" w14:textId="77777777" w:rsidR="00E42093" w:rsidRDefault="00E42093" w:rsidP="007E72E6">
      <w:pPr>
        <w:autoSpaceDE w:val="0"/>
        <w:autoSpaceDN w:val="0"/>
        <w:adjustRightInd w:val="0"/>
        <w:spacing w:after="0" w:line="240" w:lineRule="auto"/>
        <w:jc w:val="both"/>
        <w:rPr>
          <w:rFonts w:ascii="Times New Roman" w:hAnsi="Times New Roman"/>
          <w:lang w:eastAsia="hr-HR"/>
        </w:rPr>
      </w:pPr>
    </w:p>
    <w:p w14:paraId="7D33057C" w14:textId="77777777" w:rsidR="00B213B3" w:rsidRPr="00235530" w:rsidRDefault="00322F0E" w:rsidP="007E72E6">
      <w:pPr>
        <w:autoSpaceDE w:val="0"/>
        <w:autoSpaceDN w:val="0"/>
        <w:adjustRightInd w:val="0"/>
        <w:spacing w:after="0" w:line="240" w:lineRule="auto"/>
        <w:jc w:val="both"/>
        <w:rPr>
          <w:rFonts w:ascii="Times New Roman" w:hAnsi="Times New Roman"/>
          <w:lang w:eastAsia="hr-HR"/>
        </w:rPr>
      </w:pPr>
      <w:r w:rsidRPr="00235530">
        <w:rPr>
          <w:rFonts w:ascii="Times New Roman" w:hAnsi="Times New Roman"/>
          <w:lang w:eastAsia="hr-HR"/>
        </w:rPr>
        <w:t xml:space="preserve">U Tablicama </w:t>
      </w:r>
      <w:r w:rsidR="00E17C10" w:rsidRPr="00235530">
        <w:rPr>
          <w:rFonts w:ascii="Times New Roman" w:hAnsi="Times New Roman"/>
          <w:lang w:eastAsia="hr-HR"/>
        </w:rPr>
        <w:t>4</w:t>
      </w:r>
      <w:r w:rsidRPr="00235530">
        <w:rPr>
          <w:rFonts w:ascii="Times New Roman" w:hAnsi="Times New Roman"/>
          <w:lang w:eastAsia="hr-HR"/>
        </w:rPr>
        <w:t xml:space="preserve">. i </w:t>
      </w:r>
      <w:r w:rsidR="00E17C10" w:rsidRPr="00235530">
        <w:rPr>
          <w:rFonts w:ascii="Times New Roman" w:hAnsi="Times New Roman"/>
          <w:lang w:eastAsia="hr-HR"/>
        </w:rPr>
        <w:t>5</w:t>
      </w:r>
      <w:r w:rsidRPr="00235530">
        <w:rPr>
          <w:rFonts w:ascii="Times New Roman" w:hAnsi="Times New Roman"/>
          <w:lang w:eastAsia="hr-HR"/>
        </w:rPr>
        <w:t xml:space="preserve">. </w:t>
      </w:r>
      <w:r w:rsidR="00BB3203" w:rsidRPr="00235530">
        <w:rPr>
          <w:rFonts w:ascii="Times New Roman" w:hAnsi="Times New Roman"/>
          <w:lang w:eastAsia="hr-HR"/>
        </w:rPr>
        <w:t xml:space="preserve">prikazana je razrada </w:t>
      </w:r>
      <w:r w:rsidRPr="00235530">
        <w:rPr>
          <w:rFonts w:ascii="Times New Roman" w:hAnsi="Times New Roman"/>
          <w:lang w:eastAsia="hr-HR"/>
        </w:rPr>
        <w:t xml:space="preserve"> ukupnih prihoda, odnosno </w:t>
      </w:r>
      <w:r w:rsidR="00E55458" w:rsidRPr="00235530">
        <w:rPr>
          <w:rFonts w:ascii="Times New Roman" w:hAnsi="Times New Roman"/>
          <w:lang w:eastAsia="hr-HR"/>
        </w:rPr>
        <w:t>zajedničk</w:t>
      </w:r>
      <w:r w:rsidR="00BB3203" w:rsidRPr="00235530">
        <w:rPr>
          <w:rFonts w:ascii="Times New Roman" w:hAnsi="Times New Roman"/>
          <w:lang w:eastAsia="hr-HR"/>
        </w:rPr>
        <w:t>i</w:t>
      </w:r>
      <w:r w:rsidR="00E55458" w:rsidRPr="00235530">
        <w:rPr>
          <w:rFonts w:ascii="Times New Roman" w:hAnsi="Times New Roman"/>
          <w:lang w:eastAsia="hr-HR"/>
        </w:rPr>
        <w:t xml:space="preserve"> prihod</w:t>
      </w:r>
      <w:r w:rsidR="00BB3203" w:rsidRPr="00235530">
        <w:rPr>
          <w:rFonts w:ascii="Times New Roman" w:hAnsi="Times New Roman"/>
          <w:lang w:eastAsia="hr-HR"/>
        </w:rPr>
        <w:t>i</w:t>
      </w:r>
      <w:r w:rsidR="00E55458" w:rsidRPr="00235530">
        <w:rPr>
          <w:rFonts w:ascii="Times New Roman" w:hAnsi="Times New Roman"/>
          <w:lang w:eastAsia="hr-HR"/>
        </w:rPr>
        <w:t xml:space="preserve"> proračuna, </w:t>
      </w:r>
      <w:r w:rsidR="00BB3203" w:rsidRPr="00235530">
        <w:rPr>
          <w:rFonts w:ascii="Times New Roman" w:hAnsi="Times New Roman"/>
          <w:lang w:eastAsia="hr-HR"/>
        </w:rPr>
        <w:t>prikazani</w:t>
      </w:r>
      <w:r w:rsidR="00E55458" w:rsidRPr="00235530">
        <w:rPr>
          <w:rFonts w:ascii="Times New Roman" w:hAnsi="Times New Roman"/>
          <w:lang w:eastAsia="hr-HR"/>
        </w:rPr>
        <w:t xml:space="preserve"> </w:t>
      </w:r>
      <w:r w:rsidR="00BB3203" w:rsidRPr="00235530">
        <w:rPr>
          <w:rFonts w:ascii="Times New Roman" w:hAnsi="Times New Roman"/>
          <w:lang w:eastAsia="hr-HR"/>
        </w:rPr>
        <w:t>su</w:t>
      </w:r>
      <w:r w:rsidR="00E55458" w:rsidRPr="00235530">
        <w:rPr>
          <w:rFonts w:ascii="Times New Roman" w:hAnsi="Times New Roman"/>
          <w:lang w:eastAsia="hr-HR"/>
        </w:rPr>
        <w:t xml:space="preserve"> po vrsti proračuna, </w:t>
      </w:r>
      <w:r w:rsidR="00AB738E" w:rsidRPr="00235530">
        <w:rPr>
          <w:rFonts w:ascii="Times New Roman" w:hAnsi="Times New Roman"/>
          <w:lang w:eastAsia="hr-HR"/>
        </w:rPr>
        <w:t xml:space="preserve">što se može vidjeti iz podataka u tablici 4. u kojoj je dat </w:t>
      </w:r>
      <w:r w:rsidR="00E55458" w:rsidRPr="00235530">
        <w:rPr>
          <w:rFonts w:ascii="Times New Roman" w:hAnsi="Times New Roman"/>
          <w:lang w:eastAsia="hr-HR"/>
        </w:rPr>
        <w:t>prikaz prihoda državnom proračuna (izravni prihodi i udio državno</w:t>
      </w:r>
      <w:r w:rsidR="00BB3203" w:rsidRPr="00235530">
        <w:rPr>
          <w:rFonts w:ascii="Times New Roman" w:hAnsi="Times New Roman"/>
          <w:lang w:eastAsia="hr-HR"/>
        </w:rPr>
        <w:t>g</w:t>
      </w:r>
      <w:r w:rsidR="00E55458" w:rsidRPr="00235530">
        <w:rPr>
          <w:rFonts w:ascii="Times New Roman" w:hAnsi="Times New Roman"/>
          <w:lang w:eastAsia="hr-HR"/>
        </w:rPr>
        <w:t xml:space="preserve"> proračuna u zajedničkim proračunima), </w:t>
      </w:r>
      <w:r w:rsidR="00AB738E" w:rsidRPr="00235530">
        <w:rPr>
          <w:rFonts w:ascii="Times New Roman" w:hAnsi="Times New Roman"/>
          <w:lang w:eastAsia="hr-HR"/>
        </w:rPr>
        <w:t xml:space="preserve">dok se iz tablice </w:t>
      </w:r>
      <w:r w:rsidR="00476966">
        <w:rPr>
          <w:rFonts w:ascii="Times New Roman" w:hAnsi="Times New Roman"/>
          <w:lang w:eastAsia="hr-HR"/>
        </w:rPr>
        <w:t xml:space="preserve">5. </w:t>
      </w:r>
      <w:r w:rsidR="00AB738E" w:rsidRPr="00235530">
        <w:rPr>
          <w:rFonts w:ascii="Times New Roman" w:hAnsi="Times New Roman"/>
          <w:lang w:eastAsia="hr-HR"/>
        </w:rPr>
        <w:t xml:space="preserve">može vidjeti </w:t>
      </w:r>
      <w:r w:rsidR="00E55458" w:rsidRPr="00235530">
        <w:rPr>
          <w:rFonts w:ascii="Times New Roman" w:hAnsi="Times New Roman"/>
          <w:lang w:eastAsia="hr-HR"/>
        </w:rPr>
        <w:t>prikaz ostvarenja prihoda županijskih i općinskih/gradskih proračuna s osnova zajedničkih prihoda.</w:t>
      </w:r>
    </w:p>
    <w:p w14:paraId="7D33057D" w14:textId="77777777" w:rsidR="00536104" w:rsidRDefault="00536104" w:rsidP="001D4759">
      <w:pPr>
        <w:autoSpaceDE w:val="0"/>
        <w:autoSpaceDN w:val="0"/>
        <w:adjustRightInd w:val="0"/>
        <w:spacing w:after="0" w:line="240" w:lineRule="auto"/>
        <w:jc w:val="both"/>
        <w:rPr>
          <w:rFonts w:ascii="Times New Roman" w:hAnsi="Times New Roman"/>
          <w:b/>
          <w:sz w:val="20"/>
          <w:szCs w:val="20"/>
          <w:lang w:eastAsia="hr-HR"/>
        </w:rPr>
      </w:pPr>
    </w:p>
    <w:p w14:paraId="7D33057E" w14:textId="77777777" w:rsidR="00B45873" w:rsidRDefault="00DD778E" w:rsidP="001D4759">
      <w:pPr>
        <w:autoSpaceDE w:val="0"/>
        <w:autoSpaceDN w:val="0"/>
        <w:adjustRightInd w:val="0"/>
        <w:spacing w:after="0" w:line="240" w:lineRule="auto"/>
        <w:jc w:val="both"/>
        <w:rPr>
          <w:rFonts w:ascii="Times New Roman" w:hAnsi="Times New Roman"/>
          <w:sz w:val="20"/>
          <w:szCs w:val="20"/>
          <w:lang w:eastAsia="hr-HR"/>
        </w:rPr>
      </w:pPr>
      <w:r w:rsidRPr="00235530">
        <w:rPr>
          <w:rFonts w:ascii="Times New Roman" w:hAnsi="Times New Roman"/>
          <w:b/>
          <w:sz w:val="20"/>
          <w:szCs w:val="20"/>
          <w:lang w:eastAsia="hr-HR"/>
        </w:rPr>
        <w:t xml:space="preserve">Tablica </w:t>
      </w:r>
      <w:r w:rsidR="00E17C10" w:rsidRPr="00235530">
        <w:rPr>
          <w:rFonts w:ascii="Times New Roman" w:hAnsi="Times New Roman"/>
          <w:b/>
          <w:sz w:val="20"/>
          <w:szCs w:val="20"/>
          <w:lang w:eastAsia="hr-HR"/>
        </w:rPr>
        <w:t>4</w:t>
      </w:r>
      <w:r w:rsidR="003852DD" w:rsidRPr="00235530">
        <w:rPr>
          <w:rFonts w:ascii="Times New Roman" w:hAnsi="Times New Roman"/>
          <w:b/>
          <w:sz w:val="20"/>
          <w:szCs w:val="20"/>
          <w:lang w:eastAsia="hr-HR"/>
        </w:rPr>
        <w:t xml:space="preserve">. </w:t>
      </w:r>
      <w:r w:rsidRPr="00235530">
        <w:rPr>
          <w:rFonts w:ascii="Times New Roman" w:hAnsi="Times New Roman"/>
          <w:sz w:val="20"/>
          <w:szCs w:val="20"/>
          <w:lang w:eastAsia="hr-HR"/>
        </w:rPr>
        <w:t>Prikaz prihoda Državnog proračuna</w:t>
      </w:r>
      <w:r w:rsidR="003852DD" w:rsidRPr="00235530">
        <w:rPr>
          <w:rFonts w:ascii="Times New Roman" w:hAnsi="Times New Roman"/>
          <w:sz w:val="20"/>
          <w:szCs w:val="20"/>
          <w:lang w:eastAsia="hr-HR"/>
        </w:rPr>
        <w:t xml:space="preserve"> (izravni i s osnova zajedničkih prihoda)</w:t>
      </w:r>
      <w:r w:rsidRPr="00235530">
        <w:rPr>
          <w:rFonts w:ascii="Times New Roman" w:hAnsi="Times New Roman"/>
          <w:sz w:val="20"/>
          <w:szCs w:val="20"/>
          <w:lang w:eastAsia="hr-HR"/>
        </w:rPr>
        <w:t xml:space="preserve"> od naknade za koncesiju po </w:t>
      </w:r>
      <w:r w:rsidR="003852DD" w:rsidRPr="00235530">
        <w:rPr>
          <w:rFonts w:ascii="Times New Roman" w:hAnsi="Times New Roman"/>
          <w:sz w:val="20"/>
          <w:szCs w:val="20"/>
          <w:lang w:eastAsia="hr-HR"/>
        </w:rPr>
        <w:t xml:space="preserve">vrstama </w:t>
      </w:r>
      <w:r w:rsidRPr="00235530">
        <w:rPr>
          <w:rFonts w:ascii="Times New Roman" w:hAnsi="Times New Roman"/>
          <w:sz w:val="20"/>
          <w:szCs w:val="20"/>
          <w:lang w:eastAsia="hr-HR"/>
        </w:rPr>
        <w:t>koncesije</w:t>
      </w:r>
    </w:p>
    <w:p w14:paraId="7D33057F" w14:textId="77777777" w:rsidR="00875E8A" w:rsidRPr="004F7400" w:rsidRDefault="00E5454D" w:rsidP="004F7400">
      <w:pPr>
        <w:autoSpaceDE w:val="0"/>
        <w:autoSpaceDN w:val="0"/>
        <w:adjustRightInd w:val="0"/>
        <w:spacing w:after="0" w:line="240" w:lineRule="auto"/>
        <w:jc w:val="both"/>
        <w:rPr>
          <w:rFonts w:ascii="Times New Roman" w:hAnsi="Times New Roman"/>
          <w:sz w:val="20"/>
          <w:szCs w:val="20"/>
          <w:lang w:eastAsia="hr-HR"/>
        </w:rPr>
      </w:pPr>
      <w:r w:rsidRPr="00E5454D">
        <w:rPr>
          <w:noProof/>
          <w:lang w:eastAsia="hr-HR"/>
        </w:rPr>
        <w:lastRenderedPageBreak/>
        <w:drawing>
          <wp:inline distT="0" distB="0" distL="0" distR="0" wp14:anchorId="7D3306DE" wp14:editId="7D3306DF">
            <wp:extent cx="5400040" cy="480250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802505"/>
                    </a:xfrm>
                    <a:prstGeom prst="rect">
                      <a:avLst/>
                    </a:prstGeom>
                    <a:noFill/>
                    <a:ln>
                      <a:noFill/>
                    </a:ln>
                  </pic:spPr>
                </pic:pic>
              </a:graphicData>
            </a:graphic>
          </wp:inline>
        </w:drawing>
      </w:r>
    </w:p>
    <w:p w14:paraId="7D330580" w14:textId="77777777" w:rsidR="000625E3" w:rsidRPr="006409A4" w:rsidRDefault="00875E8A" w:rsidP="006409A4">
      <w:pPr>
        <w:spacing w:after="0" w:line="240" w:lineRule="auto"/>
        <w:jc w:val="both"/>
        <w:rPr>
          <w:rFonts w:ascii="Times New Roman" w:hAnsi="Times New Roman"/>
          <w:sz w:val="18"/>
          <w:szCs w:val="18"/>
        </w:rPr>
      </w:pPr>
      <w:r w:rsidRPr="00235530">
        <w:rPr>
          <w:rFonts w:ascii="Times New Roman" w:hAnsi="Times New Roman"/>
          <w:b/>
          <w:sz w:val="18"/>
          <w:szCs w:val="18"/>
        </w:rPr>
        <w:t>I</w:t>
      </w:r>
      <w:r w:rsidR="003852DD" w:rsidRPr="00235530">
        <w:rPr>
          <w:rFonts w:ascii="Times New Roman" w:hAnsi="Times New Roman"/>
          <w:b/>
          <w:sz w:val="18"/>
          <w:szCs w:val="18"/>
        </w:rPr>
        <w:t>zvor:</w:t>
      </w:r>
      <w:r w:rsidR="00730369">
        <w:rPr>
          <w:rFonts w:ascii="Times New Roman" w:hAnsi="Times New Roman"/>
          <w:b/>
          <w:sz w:val="18"/>
          <w:szCs w:val="18"/>
        </w:rPr>
        <w:t xml:space="preserve"> </w:t>
      </w:r>
      <w:r w:rsidR="003852DD" w:rsidRPr="00235530">
        <w:rPr>
          <w:rFonts w:ascii="Times New Roman" w:hAnsi="Times New Roman"/>
          <w:sz w:val="18"/>
          <w:szCs w:val="18"/>
        </w:rPr>
        <w:t>FINA, Državna riznica</w:t>
      </w:r>
    </w:p>
    <w:p w14:paraId="7D330581" w14:textId="77777777" w:rsidR="006409A4" w:rsidRDefault="006409A4" w:rsidP="0015070B">
      <w:pPr>
        <w:spacing w:after="0" w:line="240" w:lineRule="auto"/>
        <w:jc w:val="both"/>
        <w:rPr>
          <w:rFonts w:ascii="Times New Roman" w:hAnsi="Times New Roman"/>
          <w:b/>
        </w:rPr>
      </w:pPr>
    </w:p>
    <w:p w14:paraId="7D330582" w14:textId="77777777" w:rsidR="00911414" w:rsidRPr="00235530" w:rsidRDefault="00846865" w:rsidP="0015070B">
      <w:pPr>
        <w:spacing w:after="0" w:line="240" w:lineRule="auto"/>
        <w:jc w:val="both"/>
        <w:rPr>
          <w:rFonts w:ascii="Times New Roman" w:hAnsi="Times New Roman"/>
        </w:rPr>
      </w:pPr>
      <w:r w:rsidRPr="00235530">
        <w:rPr>
          <w:rFonts w:ascii="Times New Roman" w:hAnsi="Times New Roman"/>
          <w:b/>
        </w:rPr>
        <w:t>Izravni prihodi državnog proračuna</w:t>
      </w:r>
      <w:r w:rsidRPr="00235530">
        <w:rPr>
          <w:rFonts w:ascii="Times New Roman" w:hAnsi="Times New Roman"/>
        </w:rPr>
        <w:t xml:space="preserve"> </w:t>
      </w:r>
      <w:r w:rsidR="00875E8A" w:rsidRPr="00235530">
        <w:rPr>
          <w:rFonts w:ascii="Times New Roman" w:hAnsi="Times New Roman"/>
        </w:rPr>
        <w:t>– pojašnjenje je isto kao i za Tablicu 3.</w:t>
      </w:r>
    </w:p>
    <w:p w14:paraId="7D330583" w14:textId="77777777" w:rsidR="00071B3A" w:rsidRPr="00235530" w:rsidRDefault="00071B3A" w:rsidP="0015070B">
      <w:pPr>
        <w:spacing w:after="0" w:line="240" w:lineRule="auto"/>
        <w:jc w:val="both"/>
        <w:rPr>
          <w:rFonts w:ascii="Times New Roman" w:hAnsi="Times New Roman"/>
          <w:b/>
        </w:rPr>
      </w:pPr>
    </w:p>
    <w:p w14:paraId="7D330584" w14:textId="77777777" w:rsidR="00911414" w:rsidRPr="00235530" w:rsidRDefault="00911414" w:rsidP="0015070B">
      <w:pPr>
        <w:spacing w:after="0" w:line="240" w:lineRule="auto"/>
        <w:jc w:val="both"/>
        <w:rPr>
          <w:rFonts w:ascii="Times New Roman" w:hAnsi="Times New Roman"/>
        </w:rPr>
      </w:pPr>
      <w:r w:rsidRPr="00235530">
        <w:rPr>
          <w:rFonts w:ascii="Times New Roman" w:hAnsi="Times New Roman"/>
          <w:b/>
        </w:rPr>
        <w:t xml:space="preserve">Prihodi državnog proračuna u zajedničkim prihodima države i grada i općine </w:t>
      </w:r>
      <w:r w:rsidRPr="00235530">
        <w:rPr>
          <w:rFonts w:ascii="Times New Roman" w:hAnsi="Times New Roman"/>
          <w:bCs/>
        </w:rPr>
        <w:t xml:space="preserve">ostvareni su u </w:t>
      </w:r>
      <w:r w:rsidR="00464E6B" w:rsidRPr="00235530">
        <w:rPr>
          <w:rFonts w:ascii="Times New Roman" w:hAnsi="Times New Roman"/>
          <w:bCs/>
        </w:rPr>
        <w:t>201</w:t>
      </w:r>
      <w:r w:rsidR="00165C16">
        <w:rPr>
          <w:rFonts w:ascii="Times New Roman" w:hAnsi="Times New Roman"/>
          <w:bCs/>
        </w:rPr>
        <w:t>9</w:t>
      </w:r>
      <w:r w:rsidR="00034788" w:rsidRPr="00235530">
        <w:rPr>
          <w:rFonts w:ascii="Times New Roman" w:hAnsi="Times New Roman"/>
          <w:bCs/>
        </w:rPr>
        <w:t xml:space="preserve">. godini u </w:t>
      </w:r>
      <w:r w:rsidRPr="00235530">
        <w:rPr>
          <w:rFonts w:ascii="Times New Roman" w:hAnsi="Times New Roman"/>
          <w:bCs/>
        </w:rPr>
        <w:t xml:space="preserve">iznosu od </w:t>
      </w:r>
      <w:r w:rsidR="00165C16">
        <w:rPr>
          <w:rFonts w:ascii="Times New Roman" w:hAnsi="Times New Roman"/>
          <w:bCs/>
        </w:rPr>
        <w:t>9,9</w:t>
      </w:r>
      <w:r w:rsidRPr="00235530">
        <w:rPr>
          <w:rFonts w:ascii="Times New Roman" w:hAnsi="Times New Roman"/>
          <w:bCs/>
        </w:rPr>
        <w:t xml:space="preserve"> mln kuna</w:t>
      </w:r>
      <w:r w:rsidR="00034788" w:rsidRPr="00235530">
        <w:rPr>
          <w:rFonts w:ascii="Times New Roman" w:hAnsi="Times New Roman"/>
          <w:bCs/>
        </w:rPr>
        <w:t>, a u 201</w:t>
      </w:r>
      <w:r w:rsidR="00165C16">
        <w:rPr>
          <w:rFonts w:ascii="Times New Roman" w:hAnsi="Times New Roman"/>
          <w:bCs/>
        </w:rPr>
        <w:t>8</w:t>
      </w:r>
      <w:r w:rsidR="00034788" w:rsidRPr="00235530">
        <w:rPr>
          <w:rFonts w:ascii="Times New Roman" w:hAnsi="Times New Roman"/>
          <w:bCs/>
        </w:rPr>
        <w:t xml:space="preserve">. godini u iznosu od </w:t>
      </w:r>
      <w:r w:rsidR="00165C16">
        <w:rPr>
          <w:rFonts w:ascii="Times New Roman" w:hAnsi="Times New Roman"/>
          <w:bCs/>
        </w:rPr>
        <w:t>10,3</w:t>
      </w:r>
      <w:r w:rsidR="00034788" w:rsidRPr="00235530">
        <w:rPr>
          <w:rFonts w:ascii="Times New Roman" w:hAnsi="Times New Roman"/>
          <w:bCs/>
        </w:rPr>
        <w:t xml:space="preserve"> mln kuna</w:t>
      </w:r>
      <w:r w:rsidRPr="00235530">
        <w:rPr>
          <w:rFonts w:ascii="Times New Roman" w:hAnsi="Times New Roman"/>
        </w:rPr>
        <w:t xml:space="preserve">. </w:t>
      </w:r>
      <w:r w:rsidR="00165C16">
        <w:rPr>
          <w:rFonts w:ascii="Times New Roman" w:hAnsi="Times New Roman"/>
        </w:rPr>
        <w:t>Smanjenje</w:t>
      </w:r>
      <w:r w:rsidR="00464E6B" w:rsidRPr="00235530">
        <w:rPr>
          <w:rFonts w:ascii="Times New Roman" w:hAnsi="Times New Roman"/>
        </w:rPr>
        <w:t xml:space="preserve"> prihoda u ovoj kategoriji bilježe prihodi s osnova naknade za koncesiju za javnu vodoopskrbu (</w:t>
      </w:r>
      <w:r w:rsidR="00165C16">
        <w:rPr>
          <w:rFonts w:ascii="Times New Roman" w:hAnsi="Times New Roman"/>
        </w:rPr>
        <w:t>11,1</w:t>
      </w:r>
      <w:r w:rsidR="00464E6B" w:rsidRPr="00235530">
        <w:rPr>
          <w:rFonts w:ascii="Times New Roman" w:hAnsi="Times New Roman"/>
        </w:rPr>
        <w:t xml:space="preserve"> posto)</w:t>
      </w:r>
      <w:r w:rsidR="00F47213">
        <w:rPr>
          <w:rFonts w:ascii="Times New Roman" w:hAnsi="Times New Roman"/>
        </w:rPr>
        <w:t>, prihodi s osnova nakane za koncesiju  za mineralne i termalne vode (</w:t>
      </w:r>
      <w:r w:rsidR="00165C16">
        <w:rPr>
          <w:rFonts w:ascii="Times New Roman" w:hAnsi="Times New Roman"/>
        </w:rPr>
        <w:t>8,9 posto)</w:t>
      </w:r>
      <w:r w:rsidR="00F47213">
        <w:rPr>
          <w:rFonts w:ascii="Times New Roman" w:hAnsi="Times New Roman"/>
        </w:rPr>
        <w:t xml:space="preserve">. Prihodi s osnova naknade za koncesiju za zahvaćanje pitke vode bilježe smanjenje (5,3 posto), dok  su prihodi </w:t>
      </w:r>
      <w:r w:rsidR="00165C16">
        <w:rPr>
          <w:rFonts w:ascii="Times New Roman" w:hAnsi="Times New Roman"/>
        </w:rPr>
        <w:t xml:space="preserve">osnova naknade za osnivanje slobodne zone i prihodi </w:t>
      </w:r>
      <w:r w:rsidR="00F47213">
        <w:rPr>
          <w:rFonts w:ascii="Times New Roman" w:hAnsi="Times New Roman"/>
        </w:rPr>
        <w:t>od naknade za skladištenje ugljikovodika ostali na istoj razini ostvarenja kao i u 201</w:t>
      </w:r>
      <w:r w:rsidR="00165C16">
        <w:rPr>
          <w:rFonts w:ascii="Times New Roman" w:hAnsi="Times New Roman"/>
        </w:rPr>
        <w:t>8</w:t>
      </w:r>
      <w:r w:rsidR="00F47213">
        <w:rPr>
          <w:rFonts w:ascii="Times New Roman" w:hAnsi="Times New Roman"/>
        </w:rPr>
        <w:t xml:space="preserve">. godini. </w:t>
      </w:r>
      <w:r w:rsidR="00464E6B" w:rsidRPr="00235530">
        <w:rPr>
          <w:rFonts w:ascii="Times New Roman" w:hAnsi="Times New Roman"/>
        </w:rPr>
        <w:t xml:space="preserve"> </w:t>
      </w:r>
      <w:r w:rsidRPr="00235530">
        <w:rPr>
          <w:rFonts w:ascii="Times New Roman" w:hAnsi="Times New Roman"/>
        </w:rPr>
        <w:t xml:space="preserve"> </w:t>
      </w:r>
    </w:p>
    <w:p w14:paraId="7D330585" w14:textId="77777777" w:rsidR="00911414" w:rsidRPr="00235530" w:rsidRDefault="00911414" w:rsidP="0015070B">
      <w:pPr>
        <w:spacing w:after="0" w:line="240" w:lineRule="auto"/>
        <w:jc w:val="both"/>
        <w:rPr>
          <w:rFonts w:ascii="Times New Roman" w:hAnsi="Times New Roman"/>
          <w:b/>
        </w:rPr>
      </w:pPr>
    </w:p>
    <w:p w14:paraId="7D330586" w14:textId="77777777" w:rsidR="00E60224" w:rsidRDefault="00911414" w:rsidP="0015070B">
      <w:pPr>
        <w:spacing w:after="0" w:line="240" w:lineRule="auto"/>
        <w:jc w:val="both"/>
        <w:rPr>
          <w:rFonts w:ascii="Times New Roman" w:hAnsi="Times New Roman"/>
          <w:bCs/>
        </w:rPr>
      </w:pPr>
      <w:r w:rsidRPr="000D7ADD">
        <w:rPr>
          <w:rFonts w:ascii="Times New Roman" w:hAnsi="Times New Roman"/>
          <w:b/>
        </w:rPr>
        <w:t>Prihodi državnog proračuna u</w:t>
      </w:r>
      <w:r w:rsidRPr="00235530">
        <w:rPr>
          <w:rFonts w:ascii="Times New Roman" w:hAnsi="Times New Roman"/>
          <w:b/>
        </w:rPr>
        <w:t xml:space="preserve"> zajedničkim prihodima države, županije i grada/općine </w:t>
      </w:r>
      <w:r w:rsidRPr="00235530">
        <w:rPr>
          <w:rFonts w:ascii="Times New Roman" w:hAnsi="Times New Roman"/>
          <w:bCs/>
        </w:rPr>
        <w:t xml:space="preserve">ostvareni su u </w:t>
      </w:r>
      <w:r w:rsidR="00464E6B" w:rsidRPr="00235530">
        <w:rPr>
          <w:rFonts w:ascii="Times New Roman" w:hAnsi="Times New Roman"/>
          <w:bCs/>
        </w:rPr>
        <w:t>201</w:t>
      </w:r>
      <w:r w:rsidR="00165C16">
        <w:rPr>
          <w:rFonts w:ascii="Times New Roman" w:hAnsi="Times New Roman"/>
          <w:bCs/>
        </w:rPr>
        <w:t>9</w:t>
      </w:r>
      <w:r w:rsidR="00034788" w:rsidRPr="00235530">
        <w:rPr>
          <w:rFonts w:ascii="Times New Roman" w:hAnsi="Times New Roman"/>
          <w:bCs/>
        </w:rPr>
        <w:t xml:space="preserve">. godini u </w:t>
      </w:r>
      <w:r w:rsidRPr="00235530">
        <w:rPr>
          <w:rFonts w:ascii="Times New Roman" w:hAnsi="Times New Roman"/>
          <w:bCs/>
        </w:rPr>
        <w:t xml:space="preserve">iznosu od </w:t>
      </w:r>
      <w:r w:rsidR="00165C16">
        <w:rPr>
          <w:rFonts w:ascii="Times New Roman" w:hAnsi="Times New Roman"/>
          <w:bCs/>
        </w:rPr>
        <w:t>236,6</w:t>
      </w:r>
      <w:r w:rsidRPr="00235530">
        <w:rPr>
          <w:rFonts w:ascii="Times New Roman" w:hAnsi="Times New Roman"/>
          <w:bCs/>
        </w:rPr>
        <w:t xml:space="preserve"> mln kuna</w:t>
      </w:r>
      <w:r w:rsidR="00034788" w:rsidRPr="00235530">
        <w:rPr>
          <w:rFonts w:ascii="Times New Roman" w:hAnsi="Times New Roman"/>
          <w:bCs/>
        </w:rPr>
        <w:t xml:space="preserve">, dok su u </w:t>
      </w:r>
      <w:r w:rsidR="008C74A9" w:rsidRPr="00235530">
        <w:rPr>
          <w:rFonts w:ascii="Times New Roman" w:hAnsi="Times New Roman"/>
          <w:bCs/>
        </w:rPr>
        <w:t>201</w:t>
      </w:r>
      <w:r w:rsidR="00165C16">
        <w:rPr>
          <w:rFonts w:ascii="Times New Roman" w:hAnsi="Times New Roman"/>
          <w:bCs/>
        </w:rPr>
        <w:t>8</w:t>
      </w:r>
      <w:r w:rsidR="00034788" w:rsidRPr="00235530">
        <w:rPr>
          <w:rFonts w:ascii="Times New Roman" w:hAnsi="Times New Roman"/>
          <w:bCs/>
        </w:rPr>
        <w:t xml:space="preserve">. godini ostvareni u iznosu od </w:t>
      </w:r>
      <w:r w:rsidR="00165C16">
        <w:rPr>
          <w:rFonts w:ascii="Times New Roman" w:hAnsi="Times New Roman"/>
          <w:bCs/>
        </w:rPr>
        <w:t>237,4</w:t>
      </w:r>
      <w:r w:rsidR="00034788" w:rsidRPr="00235530">
        <w:rPr>
          <w:rFonts w:ascii="Times New Roman" w:hAnsi="Times New Roman"/>
          <w:bCs/>
        </w:rPr>
        <w:t xml:space="preserve"> mln kuna.</w:t>
      </w:r>
      <w:r w:rsidR="008C74A9" w:rsidRPr="00235530">
        <w:rPr>
          <w:rFonts w:ascii="Times New Roman" w:hAnsi="Times New Roman"/>
          <w:bCs/>
        </w:rPr>
        <w:t xml:space="preserve"> </w:t>
      </w:r>
      <w:r w:rsidR="0028780C" w:rsidRPr="00235530">
        <w:rPr>
          <w:rFonts w:ascii="Times New Roman" w:hAnsi="Times New Roman"/>
          <w:bCs/>
        </w:rPr>
        <w:t>Smanjenje</w:t>
      </w:r>
      <w:r w:rsidR="008C74A9" w:rsidRPr="00235530">
        <w:rPr>
          <w:rFonts w:ascii="Times New Roman" w:hAnsi="Times New Roman"/>
          <w:bCs/>
        </w:rPr>
        <w:t xml:space="preserve"> prihoda u ovoj kategoriji bilježe prihodi s osnova naknade za koncesiju na pomorskom dobru (</w:t>
      </w:r>
      <w:r w:rsidR="00165C16">
        <w:rPr>
          <w:rFonts w:ascii="Times New Roman" w:hAnsi="Times New Roman"/>
          <w:bCs/>
        </w:rPr>
        <w:t>7,7</w:t>
      </w:r>
      <w:r w:rsidR="008C74A9" w:rsidRPr="00235530">
        <w:rPr>
          <w:rFonts w:ascii="Times New Roman" w:hAnsi="Times New Roman"/>
          <w:bCs/>
        </w:rPr>
        <w:t xml:space="preserve"> posto), te su isti u 201</w:t>
      </w:r>
      <w:r w:rsidR="00165C16">
        <w:rPr>
          <w:rFonts w:ascii="Times New Roman" w:hAnsi="Times New Roman"/>
          <w:bCs/>
        </w:rPr>
        <w:t>9</w:t>
      </w:r>
      <w:r w:rsidR="008C74A9" w:rsidRPr="00235530">
        <w:rPr>
          <w:rFonts w:ascii="Times New Roman" w:hAnsi="Times New Roman"/>
          <w:bCs/>
        </w:rPr>
        <w:t xml:space="preserve">. godini ostvareni u iznosu od </w:t>
      </w:r>
      <w:r w:rsidR="00165C16">
        <w:rPr>
          <w:rFonts w:ascii="Times New Roman" w:hAnsi="Times New Roman"/>
          <w:bCs/>
        </w:rPr>
        <w:t>36,4</w:t>
      </w:r>
      <w:r w:rsidR="008C74A9" w:rsidRPr="00235530">
        <w:rPr>
          <w:rFonts w:ascii="Times New Roman" w:hAnsi="Times New Roman"/>
          <w:bCs/>
        </w:rPr>
        <w:t xml:space="preserve"> mln kuna, a u 201</w:t>
      </w:r>
      <w:r w:rsidR="00165C16">
        <w:rPr>
          <w:rFonts w:ascii="Times New Roman" w:hAnsi="Times New Roman"/>
          <w:bCs/>
        </w:rPr>
        <w:t>8</w:t>
      </w:r>
      <w:r w:rsidR="008C74A9" w:rsidRPr="00235530">
        <w:rPr>
          <w:rFonts w:ascii="Times New Roman" w:hAnsi="Times New Roman"/>
          <w:bCs/>
        </w:rPr>
        <w:t xml:space="preserve">. godini isti su iznosili </w:t>
      </w:r>
      <w:r w:rsidR="00E60224">
        <w:rPr>
          <w:rFonts w:ascii="Times New Roman" w:hAnsi="Times New Roman"/>
          <w:bCs/>
        </w:rPr>
        <w:t>39,5</w:t>
      </w:r>
      <w:r w:rsidR="0028780C" w:rsidRPr="00235530">
        <w:rPr>
          <w:rFonts w:ascii="Times New Roman" w:hAnsi="Times New Roman"/>
          <w:bCs/>
        </w:rPr>
        <w:t xml:space="preserve"> mln kuna, </w:t>
      </w:r>
      <w:r w:rsidR="00E60224">
        <w:rPr>
          <w:rFonts w:ascii="Times New Roman" w:hAnsi="Times New Roman"/>
          <w:bCs/>
        </w:rPr>
        <w:t xml:space="preserve">prihodi </w:t>
      </w:r>
      <w:r w:rsidR="00E60224" w:rsidRPr="00235530">
        <w:rPr>
          <w:rFonts w:ascii="Times New Roman" w:hAnsi="Times New Roman"/>
          <w:bCs/>
        </w:rPr>
        <w:t xml:space="preserve">s osnova naknade za pridobivenu količinu energetskih mineralnih sirovina za plin </w:t>
      </w:r>
      <w:r w:rsidR="00E60224">
        <w:rPr>
          <w:rFonts w:ascii="Times New Roman" w:hAnsi="Times New Roman"/>
          <w:bCs/>
        </w:rPr>
        <w:t>smanjenje za</w:t>
      </w:r>
      <w:r w:rsidR="00E60224" w:rsidRPr="00235530">
        <w:rPr>
          <w:rFonts w:ascii="Times New Roman" w:hAnsi="Times New Roman"/>
          <w:bCs/>
        </w:rPr>
        <w:t xml:space="preserve"> </w:t>
      </w:r>
      <w:r w:rsidR="00E60224">
        <w:rPr>
          <w:rFonts w:ascii="Times New Roman" w:hAnsi="Times New Roman"/>
          <w:bCs/>
        </w:rPr>
        <w:t>11,2</w:t>
      </w:r>
      <w:r w:rsidR="00E60224" w:rsidRPr="00235530">
        <w:rPr>
          <w:rFonts w:ascii="Times New Roman" w:hAnsi="Times New Roman"/>
          <w:bCs/>
        </w:rPr>
        <w:t xml:space="preserve"> posto, prihodi s osnova naknade za pridobivenu količinu energetskih mineralnih  sirovina za naftu i kondenzat </w:t>
      </w:r>
      <w:r w:rsidR="00E60224">
        <w:rPr>
          <w:rFonts w:ascii="Times New Roman" w:hAnsi="Times New Roman"/>
          <w:bCs/>
        </w:rPr>
        <w:t>smanjenje za</w:t>
      </w:r>
      <w:r w:rsidR="00E60224" w:rsidRPr="00235530">
        <w:rPr>
          <w:rFonts w:ascii="Times New Roman" w:hAnsi="Times New Roman"/>
          <w:bCs/>
        </w:rPr>
        <w:t xml:space="preserve"> </w:t>
      </w:r>
      <w:r w:rsidR="00E60224">
        <w:rPr>
          <w:rFonts w:ascii="Times New Roman" w:hAnsi="Times New Roman"/>
          <w:bCs/>
        </w:rPr>
        <w:t>1,8 posto.</w:t>
      </w:r>
    </w:p>
    <w:p w14:paraId="7D330587" w14:textId="77777777" w:rsidR="00E60224" w:rsidRDefault="00E60224" w:rsidP="0015070B">
      <w:pPr>
        <w:spacing w:after="0" w:line="240" w:lineRule="auto"/>
        <w:jc w:val="both"/>
        <w:rPr>
          <w:rFonts w:ascii="Times New Roman" w:hAnsi="Times New Roman"/>
          <w:bCs/>
        </w:rPr>
      </w:pPr>
    </w:p>
    <w:p w14:paraId="7D330588" w14:textId="77777777" w:rsidR="000D7ADD" w:rsidRDefault="00E60224" w:rsidP="0015070B">
      <w:pPr>
        <w:spacing w:after="0" w:line="240" w:lineRule="auto"/>
        <w:jc w:val="both"/>
        <w:rPr>
          <w:rFonts w:ascii="Times New Roman" w:hAnsi="Times New Roman"/>
          <w:bCs/>
        </w:rPr>
      </w:pPr>
      <w:r>
        <w:rPr>
          <w:rFonts w:ascii="Times New Roman" w:hAnsi="Times New Roman"/>
          <w:bCs/>
        </w:rPr>
        <w:lastRenderedPageBreak/>
        <w:t>P</w:t>
      </w:r>
      <w:r w:rsidR="000D7ADD">
        <w:rPr>
          <w:rFonts w:ascii="Times New Roman" w:hAnsi="Times New Roman"/>
          <w:bCs/>
        </w:rPr>
        <w:t xml:space="preserve">rihodi od naknada za koncesiju za poljoprivredno zemljište </w:t>
      </w:r>
      <w:r>
        <w:rPr>
          <w:rFonts w:ascii="Times New Roman" w:hAnsi="Times New Roman"/>
          <w:bCs/>
        </w:rPr>
        <w:t>porasli</w:t>
      </w:r>
      <w:r w:rsidR="000D7ADD">
        <w:rPr>
          <w:rFonts w:ascii="Times New Roman" w:hAnsi="Times New Roman"/>
          <w:bCs/>
        </w:rPr>
        <w:t xml:space="preserve"> su za </w:t>
      </w:r>
      <w:r>
        <w:rPr>
          <w:rFonts w:ascii="Times New Roman" w:hAnsi="Times New Roman"/>
          <w:bCs/>
        </w:rPr>
        <w:t>44,0</w:t>
      </w:r>
      <w:r w:rsidR="000D7ADD">
        <w:rPr>
          <w:rFonts w:ascii="Times New Roman" w:hAnsi="Times New Roman"/>
          <w:bCs/>
        </w:rPr>
        <w:t xml:space="preserve"> posto, a prihodi od naknada za izgradnju i upravljanje zračnom l</w:t>
      </w:r>
      <w:r w:rsidR="00A71C02">
        <w:rPr>
          <w:rFonts w:ascii="Times New Roman" w:hAnsi="Times New Roman"/>
          <w:bCs/>
        </w:rPr>
        <w:t xml:space="preserve">ukom </w:t>
      </w:r>
      <w:r w:rsidR="00D40F6D">
        <w:rPr>
          <w:rFonts w:ascii="Times New Roman" w:hAnsi="Times New Roman"/>
          <w:bCs/>
        </w:rPr>
        <w:t>porasli</w:t>
      </w:r>
      <w:r w:rsidR="00A71C02">
        <w:rPr>
          <w:rFonts w:ascii="Times New Roman" w:hAnsi="Times New Roman"/>
          <w:bCs/>
        </w:rPr>
        <w:t xml:space="preserve"> su za 38,7 posto (za ovu vrstu naknade vidjeti obrazloženje na str. 13</w:t>
      </w:r>
      <w:r w:rsidR="000C140A">
        <w:rPr>
          <w:rFonts w:ascii="Times New Roman" w:hAnsi="Times New Roman"/>
          <w:bCs/>
        </w:rPr>
        <w:t>.</w:t>
      </w:r>
      <w:r w:rsidR="00A71C02">
        <w:rPr>
          <w:rFonts w:ascii="Times New Roman" w:hAnsi="Times New Roman"/>
          <w:bCs/>
        </w:rPr>
        <w:t>).</w:t>
      </w:r>
    </w:p>
    <w:p w14:paraId="7D330589" w14:textId="77777777" w:rsidR="000D7ADD" w:rsidRDefault="000D7ADD" w:rsidP="0015070B">
      <w:pPr>
        <w:spacing w:after="0" w:line="240" w:lineRule="auto"/>
        <w:jc w:val="both"/>
        <w:rPr>
          <w:rFonts w:ascii="Times New Roman" w:hAnsi="Times New Roman"/>
          <w:bCs/>
        </w:rPr>
      </w:pPr>
    </w:p>
    <w:p w14:paraId="7D33058A" w14:textId="77777777" w:rsidR="008C74A9" w:rsidRPr="00235530" w:rsidRDefault="000D7ADD" w:rsidP="0015070B">
      <w:pPr>
        <w:spacing w:after="0" w:line="240" w:lineRule="auto"/>
        <w:jc w:val="both"/>
        <w:rPr>
          <w:rFonts w:ascii="Times New Roman" w:hAnsi="Times New Roman"/>
          <w:bCs/>
        </w:rPr>
      </w:pPr>
      <w:r>
        <w:rPr>
          <w:rFonts w:ascii="Times New Roman" w:hAnsi="Times New Roman"/>
          <w:bCs/>
        </w:rPr>
        <w:t>P</w:t>
      </w:r>
      <w:r w:rsidR="0028780C" w:rsidRPr="00235530">
        <w:rPr>
          <w:rFonts w:ascii="Times New Roman" w:hAnsi="Times New Roman"/>
          <w:bCs/>
        </w:rPr>
        <w:t>rihodi od naknade za otkopanu količinu neenergetskih mineralnih sirovina su u 201</w:t>
      </w:r>
      <w:r w:rsidR="00D40F6D">
        <w:rPr>
          <w:rFonts w:ascii="Times New Roman" w:hAnsi="Times New Roman"/>
          <w:bCs/>
        </w:rPr>
        <w:t>9</w:t>
      </w:r>
      <w:r w:rsidR="0028780C" w:rsidRPr="00235530">
        <w:rPr>
          <w:rFonts w:ascii="Times New Roman" w:hAnsi="Times New Roman"/>
          <w:bCs/>
        </w:rPr>
        <w:t xml:space="preserve">. godini ostvareni u iznosu od </w:t>
      </w:r>
      <w:r w:rsidR="00D40F6D">
        <w:rPr>
          <w:rFonts w:ascii="Times New Roman" w:hAnsi="Times New Roman"/>
          <w:bCs/>
        </w:rPr>
        <w:t>15,0</w:t>
      </w:r>
      <w:r w:rsidR="0028780C" w:rsidRPr="00235530">
        <w:rPr>
          <w:rFonts w:ascii="Times New Roman" w:hAnsi="Times New Roman"/>
          <w:bCs/>
        </w:rPr>
        <w:t xml:space="preserve"> mln kuna, a u 201</w:t>
      </w:r>
      <w:r w:rsidR="00D40F6D">
        <w:rPr>
          <w:rFonts w:ascii="Times New Roman" w:hAnsi="Times New Roman"/>
          <w:bCs/>
        </w:rPr>
        <w:t>8</w:t>
      </w:r>
      <w:r w:rsidR="0028780C" w:rsidRPr="00235530">
        <w:rPr>
          <w:rFonts w:ascii="Times New Roman" w:hAnsi="Times New Roman"/>
          <w:bCs/>
        </w:rPr>
        <w:t xml:space="preserve">. godini </w:t>
      </w:r>
      <w:r w:rsidR="00D40F6D">
        <w:rPr>
          <w:rFonts w:ascii="Times New Roman" w:hAnsi="Times New Roman"/>
          <w:bCs/>
        </w:rPr>
        <w:t>12,9</w:t>
      </w:r>
      <w:r w:rsidR="0028780C" w:rsidRPr="00235530">
        <w:rPr>
          <w:rFonts w:ascii="Times New Roman" w:hAnsi="Times New Roman"/>
          <w:bCs/>
        </w:rPr>
        <w:t xml:space="preserve"> mln kuna (</w:t>
      </w:r>
      <w:r>
        <w:rPr>
          <w:rFonts w:ascii="Times New Roman" w:hAnsi="Times New Roman"/>
          <w:bCs/>
        </w:rPr>
        <w:t xml:space="preserve">povećanje </w:t>
      </w:r>
      <w:r w:rsidR="0028780C" w:rsidRPr="00235530">
        <w:rPr>
          <w:rFonts w:ascii="Times New Roman" w:hAnsi="Times New Roman"/>
          <w:bCs/>
        </w:rPr>
        <w:t xml:space="preserve">od </w:t>
      </w:r>
      <w:r w:rsidR="00D40F6D">
        <w:rPr>
          <w:rFonts w:ascii="Times New Roman" w:hAnsi="Times New Roman"/>
          <w:bCs/>
        </w:rPr>
        <w:t>16,1</w:t>
      </w:r>
      <w:r w:rsidR="0028780C" w:rsidRPr="00235530">
        <w:rPr>
          <w:rFonts w:ascii="Times New Roman" w:hAnsi="Times New Roman"/>
          <w:bCs/>
        </w:rPr>
        <w:t xml:space="preserve"> posto).</w:t>
      </w:r>
      <w:r w:rsidR="00376A63">
        <w:rPr>
          <w:rFonts w:ascii="Times New Roman" w:hAnsi="Times New Roman"/>
          <w:bCs/>
        </w:rPr>
        <w:t xml:space="preserve"> </w:t>
      </w:r>
    </w:p>
    <w:p w14:paraId="7D33058B" w14:textId="77777777" w:rsidR="00911414" w:rsidRPr="00235530" w:rsidRDefault="00911414" w:rsidP="00446110">
      <w:pPr>
        <w:spacing w:after="0" w:line="240" w:lineRule="auto"/>
        <w:jc w:val="both"/>
        <w:rPr>
          <w:rFonts w:ascii="Times New Roman" w:hAnsi="Times New Roman"/>
          <w:b/>
        </w:rPr>
      </w:pPr>
    </w:p>
    <w:p w14:paraId="7D33058C" w14:textId="77777777" w:rsidR="00911414" w:rsidRPr="00235530" w:rsidRDefault="00911414" w:rsidP="00446110">
      <w:pPr>
        <w:spacing w:after="0" w:line="240" w:lineRule="auto"/>
        <w:jc w:val="both"/>
        <w:rPr>
          <w:rFonts w:ascii="Times New Roman" w:hAnsi="Times New Roman"/>
        </w:rPr>
      </w:pPr>
      <w:r w:rsidRPr="00235530">
        <w:rPr>
          <w:rFonts w:ascii="Times New Roman" w:hAnsi="Times New Roman"/>
          <w:b/>
        </w:rPr>
        <w:t xml:space="preserve">Prihodi državnog proračuna u zajedničkim prihodima proračuna države i županije </w:t>
      </w:r>
      <w:r w:rsidRPr="00235530">
        <w:rPr>
          <w:rFonts w:ascii="Times New Roman" w:hAnsi="Times New Roman"/>
        </w:rPr>
        <w:t>ostvare</w:t>
      </w:r>
      <w:r w:rsidR="00034788" w:rsidRPr="00235530">
        <w:rPr>
          <w:rFonts w:ascii="Times New Roman" w:hAnsi="Times New Roman"/>
        </w:rPr>
        <w:t xml:space="preserve">ni su u iznosu od </w:t>
      </w:r>
      <w:r w:rsidR="00D40F6D">
        <w:rPr>
          <w:rFonts w:ascii="Times New Roman" w:hAnsi="Times New Roman"/>
        </w:rPr>
        <w:t>7,5</w:t>
      </w:r>
      <w:r w:rsidR="00034788" w:rsidRPr="00235530">
        <w:rPr>
          <w:rFonts w:ascii="Times New Roman" w:hAnsi="Times New Roman"/>
        </w:rPr>
        <w:t xml:space="preserve"> mln kuna u </w:t>
      </w:r>
      <w:r w:rsidRPr="00235530">
        <w:rPr>
          <w:rFonts w:ascii="Times New Roman" w:hAnsi="Times New Roman"/>
        </w:rPr>
        <w:t xml:space="preserve"> </w:t>
      </w:r>
      <w:r w:rsidR="008C74A9" w:rsidRPr="00235530">
        <w:rPr>
          <w:rFonts w:ascii="Times New Roman" w:hAnsi="Times New Roman"/>
        </w:rPr>
        <w:t>201</w:t>
      </w:r>
      <w:r w:rsidR="00D40F6D">
        <w:rPr>
          <w:rFonts w:ascii="Times New Roman" w:hAnsi="Times New Roman"/>
        </w:rPr>
        <w:t>9</w:t>
      </w:r>
      <w:r w:rsidRPr="00235530">
        <w:rPr>
          <w:rFonts w:ascii="Times New Roman" w:hAnsi="Times New Roman"/>
        </w:rPr>
        <w:t>. godini</w:t>
      </w:r>
      <w:r w:rsidR="00034788" w:rsidRPr="00235530">
        <w:rPr>
          <w:rFonts w:ascii="Times New Roman" w:hAnsi="Times New Roman"/>
        </w:rPr>
        <w:t xml:space="preserve">, </w:t>
      </w:r>
      <w:r w:rsidR="00376A63">
        <w:rPr>
          <w:rFonts w:ascii="Times New Roman" w:hAnsi="Times New Roman"/>
        </w:rPr>
        <w:t xml:space="preserve">te su </w:t>
      </w:r>
      <w:r w:rsidR="00D40F6D">
        <w:rPr>
          <w:rFonts w:ascii="Times New Roman" w:hAnsi="Times New Roman"/>
        </w:rPr>
        <w:t>povećani za 95,5 posto u odnosu na 2018. godinu kada su iznosili 3,8 mln kuna</w:t>
      </w:r>
      <w:r w:rsidR="00376A63">
        <w:rPr>
          <w:rFonts w:ascii="Times New Roman" w:hAnsi="Times New Roman"/>
        </w:rPr>
        <w:t>.</w:t>
      </w:r>
    </w:p>
    <w:p w14:paraId="7D33058D" w14:textId="77777777" w:rsidR="00911414" w:rsidRPr="00235530" w:rsidRDefault="00911414" w:rsidP="00446110">
      <w:pPr>
        <w:spacing w:after="0" w:line="240" w:lineRule="auto"/>
        <w:jc w:val="both"/>
        <w:rPr>
          <w:rFonts w:ascii="Times New Roman" w:hAnsi="Times New Roman"/>
          <w:highlight w:val="yellow"/>
        </w:rPr>
      </w:pPr>
    </w:p>
    <w:p w14:paraId="7D33058E" w14:textId="77777777" w:rsidR="00911414" w:rsidRPr="00235530" w:rsidRDefault="00911414" w:rsidP="00FE5015">
      <w:pPr>
        <w:spacing w:after="0" w:line="240" w:lineRule="auto"/>
        <w:jc w:val="both"/>
        <w:rPr>
          <w:rFonts w:ascii="Times New Roman" w:hAnsi="Times New Roman"/>
          <w:b/>
          <w:iCs/>
          <w:lang w:eastAsia="hr-HR"/>
        </w:rPr>
      </w:pPr>
      <w:r w:rsidRPr="00712916">
        <w:rPr>
          <w:rFonts w:ascii="Times New Roman" w:hAnsi="Times New Roman"/>
          <w:b/>
          <w:iCs/>
          <w:lang w:eastAsia="hr-HR"/>
        </w:rPr>
        <w:t>3.</w:t>
      </w:r>
      <w:r w:rsidR="002E0510" w:rsidRPr="00712916">
        <w:rPr>
          <w:rFonts w:ascii="Times New Roman" w:hAnsi="Times New Roman"/>
          <w:b/>
          <w:iCs/>
          <w:lang w:eastAsia="hr-HR"/>
        </w:rPr>
        <w:t>3</w:t>
      </w:r>
      <w:r w:rsidRPr="00712916">
        <w:rPr>
          <w:rFonts w:ascii="Times New Roman" w:hAnsi="Times New Roman"/>
          <w:b/>
          <w:iCs/>
          <w:lang w:eastAsia="hr-HR"/>
        </w:rPr>
        <w:t>. Prihodi od naknada za koncesiju  JLPRS-a kao zajednički prihodi</w:t>
      </w:r>
    </w:p>
    <w:p w14:paraId="7D33058F" w14:textId="77777777" w:rsidR="00911414" w:rsidRPr="00235530" w:rsidRDefault="00911414" w:rsidP="00FE5015">
      <w:pPr>
        <w:spacing w:after="0" w:line="240" w:lineRule="auto"/>
        <w:jc w:val="both"/>
        <w:rPr>
          <w:rFonts w:ascii="Times New Roman" w:hAnsi="Times New Roman"/>
          <w:lang w:eastAsia="hr-HR"/>
        </w:rPr>
      </w:pPr>
    </w:p>
    <w:p w14:paraId="7D330590" w14:textId="77777777" w:rsidR="00E26C56" w:rsidRDefault="00911414" w:rsidP="00FE5015">
      <w:pPr>
        <w:spacing w:after="0" w:line="240" w:lineRule="auto"/>
        <w:jc w:val="both"/>
        <w:rPr>
          <w:rFonts w:ascii="Times New Roman" w:hAnsi="Times New Roman"/>
          <w:lang w:eastAsia="hr-HR"/>
        </w:rPr>
      </w:pPr>
      <w:r w:rsidRPr="00235530">
        <w:rPr>
          <w:rFonts w:ascii="Times New Roman" w:hAnsi="Times New Roman"/>
          <w:b/>
          <w:lang w:eastAsia="hr-HR"/>
        </w:rPr>
        <w:t>Prihodi gradova, općina i županija</w:t>
      </w:r>
      <w:r w:rsidRPr="00235530">
        <w:rPr>
          <w:rFonts w:ascii="Times New Roman" w:hAnsi="Times New Roman"/>
          <w:lang w:eastAsia="hr-HR"/>
        </w:rPr>
        <w:t xml:space="preserve"> s osnova naknade za koncesije</w:t>
      </w:r>
      <w:r w:rsidR="00E26C56">
        <w:rPr>
          <w:rFonts w:ascii="Times New Roman" w:hAnsi="Times New Roman"/>
          <w:lang w:eastAsia="hr-HR"/>
        </w:rPr>
        <w:t xml:space="preserve"> mogu biti:</w:t>
      </w:r>
    </w:p>
    <w:p w14:paraId="7D330591" w14:textId="77777777" w:rsidR="00E26C56" w:rsidRDefault="00E26C56" w:rsidP="00E26C56">
      <w:pPr>
        <w:pStyle w:val="ListParagraph"/>
        <w:numPr>
          <w:ilvl w:val="0"/>
          <w:numId w:val="6"/>
        </w:numPr>
        <w:spacing w:after="0" w:line="240" w:lineRule="auto"/>
        <w:jc w:val="both"/>
        <w:rPr>
          <w:rFonts w:ascii="Times New Roman" w:hAnsi="Times New Roman"/>
          <w:lang w:eastAsia="hr-HR"/>
        </w:rPr>
      </w:pPr>
      <w:r>
        <w:rPr>
          <w:rFonts w:ascii="Times New Roman" w:hAnsi="Times New Roman"/>
          <w:lang w:eastAsia="hr-HR"/>
        </w:rPr>
        <w:t>vlastiti prihodi</w:t>
      </w:r>
    </w:p>
    <w:p w14:paraId="7D330592" w14:textId="77777777" w:rsidR="00E26C56" w:rsidRDefault="00E26C56" w:rsidP="00E26C56">
      <w:pPr>
        <w:pStyle w:val="ListParagraph"/>
        <w:numPr>
          <w:ilvl w:val="0"/>
          <w:numId w:val="6"/>
        </w:numPr>
        <w:spacing w:after="0" w:line="240" w:lineRule="auto"/>
        <w:jc w:val="both"/>
        <w:rPr>
          <w:rFonts w:ascii="Times New Roman" w:hAnsi="Times New Roman"/>
          <w:lang w:eastAsia="hr-HR"/>
        </w:rPr>
      </w:pPr>
      <w:r>
        <w:rPr>
          <w:rFonts w:ascii="Times New Roman" w:hAnsi="Times New Roman"/>
          <w:lang w:eastAsia="hr-HR"/>
        </w:rPr>
        <w:t>s osnova zajedničkih prihoda.</w:t>
      </w:r>
    </w:p>
    <w:p w14:paraId="7D330593" w14:textId="77777777" w:rsidR="00E26C56" w:rsidRDefault="00E26C56" w:rsidP="00E128DC">
      <w:pPr>
        <w:pStyle w:val="ListParagraph"/>
        <w:spacing w:after="0" w:line="240" w:lineRule="auto"/>
        <w:ind w:left="1065"/>
        <w:jc w:val="both"/>
        <w:rPr>
          <w:rFonts w:ascii="Times New Roman" w:hAnsi="Times New Roman"/>
          <w:lang w:eastAsia="hr-HR"/>
        </w:rPr>
      </w:pPr>
    </w:p>
    <w:p w14:paraId="7D330594" w14:textId="77777777" w:rsidR="00911414" w:rsidRPr="00E26C56" w:rsidRDefault="00E26C56" w:rsidP="00E26C56">
      <w:pPr>
        <w:spacing w:after="0" w:line="240" w:lineRule="auto"/>
        <w:jc w:val="both"/>
        <w:rPr>
          <w:rFonts w:ascii="Times New Roman" w:hAnsi="Times New Roman"/>
          <w:lang w:eastAsia="hr-HR"/>
        </w:rPr>
      </w:pPr>
      <w:r>
        <w:rPr>
          <w:rFonts w:ascii="Times New Roman" w:hAnsi="Times New Roman"/>
          <w:lang w:eastAsia="hr-HR"/>
        </w:rPr>
        <w:t>Vlastit prihodi općina, gradova i županija s osnova koncesije</w:t>
      </w:r>
      <w:r w:rsidR="00911414" w:rsidRPr="00E26C56">
        <w:rPr>
          <w:rFonts w:ascii="Times New Roman" w:hAnsi="Times New Roman"/>
          <w:lang w:eastAsia="hr-HR"/>
        </w:rPr>
        <w:t xml:space="preserve"> odnose se na vlastite prihode koji se ne dijele s drugim razinama vlasti, te predstavljaju isključivo prihod JLPRS-a. Politika koncesija određena Zakonom o koncesijama, te koordiniranim naporima svih dionika ovog sustava rezultirali su rastom prihoda po ovoj osnovi.</w:t>
      </w:r>
    </w:p>
    <w:p w14:paraId="7D330595" w14:textId="77777777" w:rsidR="00E55458" w:rsidRPr="00235530" w:rsidRDefault="00E55458" w:rsidP="00995044">
      <w:pPr>
        <w:spacing w:after="0" w:line="240" w:lineRule="auto"/>
        <w:jc w:val="both"/>
        <w:rPr>
          <w:rFonts w:ascii="Times New Roman" w:hAnsi="Times New Roman"/>
          <w:b/>
          <w:lang w:eastAsia="hr-HR"/>
        </w:rPr>
      </w:pPr>
    </w:p>
    <w:p w14:paraId="7D330596" w14:textId="77777777" w:rsidR="00911414" w:rsidRPr="00235530" w:rsidRDefault="00911414" w:rsidP="00995044">
      <w:pPr>
        <w:spacing w:after="0" w:line="240" w:lineRule="auto"/>
        <w:jc w:val="both"/>
        <w:rPr>
          <w:rFonts w:ascii="Times New Roman" w:hAnsi="Times New Roman"/>
          <w:lang w:eastAsia="hr-HR"/>
        </w:rPr>
      </w:pPr>
      <w:r w:rsidRPr="00E26C56">
        <w:rPr>
          <w:rFonts w:ascii="Times New Roman" w:hAnsi="Times New Roman"/>
          <w:lang w:eastAsia="hr-HR"/>
        </w:rPr>
        <w:t>Prihodi gradova, općina i županija s osnova zajedničkih prihoda</w:t>
      </w:r>
      <w:r w:rsidRPr="00235530">
        <w:rPr>
          <w:rFonts w:ascii="Times New Roman" w:hAnsi="Times New Roman"/>
          <w:lang w:eastAsia="hr-HR"/>
        </w:rPr>
        <w:t xml:space="preserve"> predstavljaju prihode gradova/općina i županija u omjerima koji su određeni posebnim propisima kojima se uređuje pojedina vrsta koncesije. </w:t>
      </w:r>
      <w:r w:rsidRPr="00235530">
        <w:rPr>
          <w:rFonts w:ascii="Times New Roman" w:hAnsi="Times New Roman"/>
          <w:bCs/>
          <w:lang w:eastAsia="hr-HR"/>
        </w:rPr>
        <w:t xml:space="preserve">Sukladno tome, u Tablici </w:t>
      </w:r>
      <w:r w:rsidR="001D4759" w:rsidRPr="00235530">
        <w:rPr>
          <w:rFonts w:ascii="Times New Roman" w:hAnsi="Times New Roman"/>
          <w:bCs/>
          <w:lang w:eastAsia="hr-HR"/>
        </w:rPr>
        <w:t>4</w:t>
      </w:r>
      <w:r w:rsidRPr="00235530">
        <w:rPr>
          <w:rFonts w:ascii="Times New Roman" w:hAnsi="Times New Roman"/>
          <w:bCs/>
          <w:lang w:eastAsia="hr-HR"/>
        </w:rPr>
        <w:t>. prikazujemo prihode od naknada za koncesiju koje su raspoređene županijama i općinama/gradovima, a sukladno p</w:t>
      </w:r>
      <w:r w:rsidRPr="00235530">
        <w:rPr>
          <w:rFonts w:ascii="Times New Roman" w:hAnsi="Times New Roman"/>
          <w:lang w:eastAsia="hr-HR"/>
        </w:rPr>
        <w:t>odjeli prihoda koje je uređeno podzakonskim aktima koji se referiraju na pojedinu vrstu koncesije, odnosno zakonski akt koji istu regulira.</w:t>
      </w:r>
    </w:p>
    <w:p w14:paraId="7D330597" w14:textId="77777777" w:rsidR="00911414" w:rsidRPr="00235530" w:rsidRDefault="00911414" w:rsidP="00995044">
      <w:pPr>
        <w:spacing w:after="0" w:line="240" w:lineRule="auto"/>
        <w:jc w:val="both"/>
        <w:rPr>
          <w:rFonts w:ascii="Times New Roman" w:hAnsi="Times New Roman"/>
          <w:lang w:eastAsia="hr-HR"/>
        </w:rPr>
      </w:pPr>
    </w:p>
    <w:p w14:paraId="7D330598" w14:textId="77777777" w:rsidR="00911414" w:rsidRPr="00235530" w:rsidRDefault="00911414" w:rsidP="00F22680">
      <w:pPr>
        <w:spacing w:after="0" w:line="240" w:lineRule="auto"/>
        <w:jc w:val="both"/>
        <w:rPr>
          <w:rFonts w:ascii="Times New Roman" w:hAnsi="Times New Roman"/>
          <w:bCs/>
          <w:lang w:eastAsia="hr-HR"/>
        </w:rPr>
      </w:pPr>
      <w:r w:rsidRPr="00E67122">
        <w:rPr>
          <w:rFonts w:ascii="Times New Roman" w:hAnsi="Times New Roman"/>
          <w:bCs/>
          <w:lang w:eastAsia="hr-HR"/>
        </w:rPr>
        <w:t>Prema podacima</w:t>
      </w:r>
      <w:r w:rsidRPr="00235530">
        <w:rPr>
          <w:rFonts w:ascii="Times New Roman" w:hAnsi="Times New Roman"/>
          <w:bCs/>
          <w:lang w:eastAsia="hr-HR"/>
        </w:rPr>
        <w:t xml:space="preserve"> iz Tablice </w:t>
      </w:r>
      <w:r w:rsidR="006E0CC9" w:rsidRPr="00235530">
        <w:rPr>
          <w:rFonts w:ascii="Times New Roman" w:hAnsi="Times New Roman"/>
          <w:bCs/>
          <w:lang w:eastAsia="hr-HR"/>
        </w:rPr>
        <w:t>5</w:t>
      </w:r>
      <w:r w:rsidRPr="00235530">
        <w:rPr>
          <w:rFonts w:ascii="Times New Roman" w:hAnsi="Times New Roman"/>
          <w:bCs/>
          <w:lang w:eastAsia="hr-HR"/>
        </w:rPr>
        <w:t xml:space="preserve">. razvidno je </w:t>
      </w:r>
      <w:r w:rsidR="00033C72" w:rsidRPr="00235530">
        <w:rPr>
          <w:rFonts w:ascii="Times New Roman" w:hAnsi="Times New Roman"/>
          <w:bCs/>
          <w:lang w:eastAsia="hr-HR"/>
        </w:rPr>
        <w:t>da su</w:t>
      </w:r>
      <w:r w:rsidRPr="00235530">
        <w:rPr>
          <w:rFonts w:ascii="Times New Roman" w:hAnsi="Times New Roman"/>
          <w:bCs/>
          <w:lang w:eastAsia="hr-HR"/>
        </w:rPr>
        <w:t xml:space="preserve"> prihoda županija u zajedničkim prihodima u </w:t>
      </w:r>
      <w:r w:rsidR="00033C72" w:rsidRPr="00235530">
        <w:rPr>
          <w:rFonts w:ascii="Times New Roman" w:hAnsi="Times New Roman"/>
          <w:bCs/>
          <w:lang w:eastAsia="hr-HR"/>
        </w:rPr>
        <w:t>201</w:t>
      </w:r>
      <w:r w:rsidR="00E67122">
        <w:rPr>
          <w:rFonts w:ascii="Times New Roman" w:hAnsi="Times New Roman"/>
          <w:bCs/>
          <w:lang w:eastAsia="hr-HR"/>
        </w:rPr>
        <w:t>9</w:t>
      </w:r>
      <w:r w:rsidR="00301B15" w:rsidRPr="00235530">
        <w:rPr>
          <w:rFonts w:ascii="Times New Roman" w:hAnsi="Times New Roman"/>
          <w:bCs/>
          <w:lang w:eastAsia="hr-HR"/>
        </w:rPr>
        <w:t xml:space="preserve">. godini u odnosu na </w:t>
      </w:r>
      <w:r w:rsidR="00543499" w:rsidRPr="00235530">
        <w:rPr>
          <w:rFonts w:ascii="Times New Roman" w:hAnsi="Times New Roman"/>
          <w:bCs/>
          <w:lang w:eastAsia="hr-HR"/>
        </w:rPr>
        <w:t>201</w:t>
      </w:r>
      <w:r w:rsidR="00E67122">
        <w:rPr>
          <w:rFonts w:ascii="Times New Roman" w:hAnsi="Times New Roman"/>
          <w:bCs/>
          <w:lang w:eastAsia="hr-HR"/>
        </w:rPr>
        <w:t>8</w:t>
      </w:r>
      <w:r w:rsidR="00301B15" w:rsidRPr="00235530">
        <w:rPr>
          <w:rFonts w:ascii="Times New Roman" w:hAnsi="Times New Roman"/>
          <w:bCs/>
          <w:lang w:eastAsia="hr-HR"/>
        </w:rPr>
        <w:t>. godinu</w:t>
      </w:r>
      <w:r w:rsidR="00033C72" w:rsidRPr="00235530">
        <w:rPr>
          <w:rFonts w:ascii="Times New Roman" w:hAnsi="Times New Roman"/>
          <w:bCs/>
          <w:lang w:eastAsia="hr-HR"/>
        </w:rPr>
        <w:t xml:space="preserve"> </w:t>
      </w:r>
      <w:r w:rsidR="00E67122">
        <w:rPr>
          <w:rFonts w:ascii="Times New Roman" w:hAnsi="Times New Roman"/>
          <w:bCs/>
          <w:lang w:eastAsia="hr-HR"/>
        </w:rPr>
        <w:t>smanjeni</w:t>
      </w:r>
      <w:r w:rsidR="00530C9A">
        <w:rPr>
          <w:rFonts w:ascii="Times New Roman" w:hAnsi="Times New Roman"/>
          <w:bCs/>
          <w:lang w:eastAsia="hr-HR"/>
        </w:rPr>
        <w:t xml:space="preserve"> za </w:t>
      </w:r>
      <w:r w:rsidR="00E67122">
        <w:rPr>
          <w:rFonts w:ascii="Times New Roman" w:hAnsi="Times New Roman"/>
          <w:bCs/>
          <w:lang w:eastAsia="hr-HR"/>
        </w:rPr>
        <w:t>2,0</w:t>
      </w:r>
      <w:r w:rsidR="00530C9A">
        <w:rPr>
          <w:rFonts w:ascii="Times New Roman" w:hAnsi="Times New Roman"/>
          <w:bCs/>
          <w:lang w:eastAsia="hr-HR"/>
        </w:rPr>
        <w:t xml:space="preserve"> posto</w:t>
      </w:r>
      <w:r w:rsidR="00301B15" w:rsidRPr="00235530">
        <w:rPr>
          <w:rFonts w:ascii="Times New Roman" w:hAnsi="Times New Roman"/>
          <w:bCs/>
          <w:lang w:eastAsia="hr-HR"/>
        </w:rPr>
        <w:t>.</w:t>
      </w:r>
      <w:r w:rsidRPr="00235530">
        <w:rPr>
          <w:rFonts w:ascii="Times New Roman" w:hAnsi="Times New Roman"/>
          <w:bCs/>
          <w:lang w:eastAsia="hr-HR"/>
        </w:rPr>
        <w:t xml:space="preserve"> </w:t>
      </w:r>
      <w:r w:rsidR="00301B15" w:rsidRPr="00235530">
        <w:rPr>
          <w:rFonts w:ascii="Times New Roman" w:hAnsi="Times New Roman"/>
          <w:bCs/>
          <w:lang w:eastAsia="hr-HR"/>
        </w:rPr>
        <w:t xml:space="preserve">Tako su prihodi županija u zajedničkim prihodima u </w:t>
      </w:r>
      <w:r w:rsidR="00033C72" w:rsidRPr="00235530">
        <w:rPr>
          <w:rFonts w:ascii="Times New Roman" w:hAnsi="Times New Roman"/>
          <w:bCs/>
          <w:lang w:eastAsia="hr-HR"/>
        </w:rPr>
        <w:t>201</w:t>
      </w:r>
      <w:r w:rsidR="00E67122">
        <w:rPr>
          <w:rFonts w:ascii="Times New Roman" w:hAnsi="Times New Roman"/>
          <w:bCs/>
          <w:lang w:eastAsia="hr-HR"/>
        </w:rPr>
        <w:t>9</w:t>
      </w:r>
      <w:r w:rsidR="00301B15" w:rsidRPr="00235530">
        <w:rPr>
          <w:rFonts w:ascii="Times New Roman" w:hAnsi="Times New Roman"/>
          <w:bCs/>
          <w:lang w:eastAsia="hr-HR"/>
        </w:rPr>
        <w:t xml:space="preserve">. godini iznosili </w:t>
      </w:r>
      <w:r w:rsidR="00E67122">
        <w:rPr>
          <w:rFonts w:ascii="Times New Roman" w:hAnsi="Times New Roman"/>
          <w:bCs/>
          <w:lang w:eastAsia="hr-HR"/>
        </w:rPr>
        <w:t>118,6</w:t>
      </w:r>
      <w:r w:rsidR="00301B15" w:rsidRPr="00235530">
        <w:rPr>
          <w:rFonts w:ascii="Times New Roman" w:hAnsi="Times New Roman"/>
          <w:bCs/>
          <w:lang w:eastAsia="hr-HR"/>
        </w:rPr>
        <w:t xml:space="preserve"> mln kuna, a u </w:t>
      </w:r>
      <w:r w:rsidR="00543499" w:rsidRPr="00235530">
        <w:rPr>
          <w:rFonts w:ascii="Times New Roman" w:hAnsi="Times New Roman"/>
          <w:bCs/>
          <w:lang w:eastAsia="hr-HR"/>
        </w:rPr>
        <w:t>201</w:t>
      </w:r>
      <w:r w:rsidR="00E67122">
        <w:rPr>
          <w:rFonts w:ascii="Times New Roman" w:hAnsi="Times New Roman"/>
          <w:bCs/>
          <w:lang w:eastAsia="hr-HR"/>
        </w:rPr>
        <w:t>8</w:t>
      </w:r>
      <w:r w:rsidR="00301B15" w:rsidRPr="00235530">
        <w:rPr>
          <w:rFonts w:ascii="Times New Roman" w:hAnsi="Times New Roman"/>
          <w:bCs/>
          <w:lang w:eastAsia="hr-HR"/>
        </w:rPr>
        <w:t xml:space="preserve">. godini </w:t>
      </w:r>
      <w:r w:rsidR="00E67122">
        <w:rPr>
          <w:rFonts w:ascii="Times New Roman" w:hAnsi="Times New Roman"/>
          <w:bCs/>
          <w:lang w:eastAsia="hr-HR"/>
        </w:rPr>
        <w:t>121,0</w:t>
      </w:r>
      <w:r w:rsidR="00301B15" w:rsidRPr="00235530">
        <w:rPr>
          <w:rFonts w:ascii="Times New Roman" w:hAnsi="Times New Roman"/>
          <w:bCs/>
          <w:lang w:eastAsia="hr-HR"/>
        </w:rPr>
        <w:t xml:space="preserve"> mln kuna.  </w:t>
      </w:r>
    </w:p>
    <w:p w14:paraId="7D330599" w14:textId="77777777" w:rsidR="00911414" w:rsidRPr="00235530" w:rsidRDefault="00911414" w:rsidP="00F22680">
      <w:pPr>
        <w:spacing w:after="0" w:line="240" w:lineRule="auto"/>
        <w:jc w:val="both"/>
        <w:rPr>
          <w:rFonts w:ascii="Times New Roman" w:hAnsi="Times New Roman"/>
          <w:bCs/>
          <w:lang w:eastAsia="hr-HR"/>
        </w:rPr>
      </w:pPr>
    </w:p>
    <w:p w14:paraId="7D33059A" w14:textId="77777777" w:rsidR="00911414" w:rsidRDefault="00543499" w:rsidP="00F22680">
      <w:pPr>
        <w:spacing w:after="0" w:line="240" w:lineRule="auto"/>
        <w:jc w:val="both"/>
        <w:rPr>
          <w:rFonts w:ascii="Times New Roman" w:hAnsi="Times New Roman"/>
          <w:bCs/>
          <w:lang w:eastAsia="hr-HR"/>
        </w:rPr>
      </w:pPr>
      <w:r w:rsidRPr="00235530">
        <w:rPr>
          <w:rFonts w:ascii="Times New Roman" w:hAnsi="Times New Roman"/>
          <w:bCs/>
          <w:lang w:eastAsia="hr-HR"/>
        </w:rPr>
        <w:t xml:space="preserve">Prihodi </w:t>
      </w:r>
      <w:r w:rsidR="00911414" w:rsidRPr="00235530">
        <w:rPr>
          <w:rFonts w:ascii="Times New Roman" w:hAnsi="Times New Roman"/>
          <w:bCs/>
          <w:lang w:eastAsia="hr-HR"/>
        </w:rPr>
        <w:t xml:space="preserve"> općinskih i gradskih proračuna tijekom </w:t>
      </w:r>
      <w:r w:rsidRPr="00235530">
        <w:rPr>
          <w:rFonts w:ascii="Times New Roman" w:hAnsi="Times New Roman"/>
          <w:bCs/>
          <w:lang w:eastAsia="hr-HR"/>
        </w:rPr>
        <w:t>201</w:t>
      </w:r>
      <w:r w:rsidR="00E67122">
        <w:rPr>
          <w:rFonts w:ascii="Times New Roman" w:hAnsi="Times New Roman"/>
          <w:bCs/>
          <w:lang w:eastAsia="hr-HR"/>
        </w:rPr>
        <w:t>9</w:t>
      </w:r>
      <w:r w:rsidRPr="00235530">
        <w:rPr>
          <w:rFonts w:ascii="Times New Roman" w:hAnsi="Times New Roman"/>
          <w:bCs/>
          <w:lang w:eastAsia="hr-HR"/>
        </w:rPr>
        <w:t xml:space="preserve">. godine bilježe </w:t>
      </w:r>
      <w:r w:rsidR="004D59C4" w:rsidRPr="00235530">
        <w:rPr>
          <w:rFonts w:ascii="Times New Roman" w:hAnsi="Times New Roman"/>
          <w:bCs/>
          <w:lang w:eastAsia="hr-HR"/>
        </w:rPr>
        <w:t>povećanje</w:t>
      </w:r>
      <w:r w:rsidRPr="00235530">
        <w:rPr>
          <w:rFonts w:ascii="Times New Roman" w:hAnsi="Times New Roman"/>
          <w:bCs/>
          <w:lang w:eastAsia="hr-HR"/>
        </w:rPr>
        <w:t xml:space="preserve"> od </w:t>
      </w:r>
      <w:r w:rsidR="00E67122">
        <w:rPr>
          <w:rFonts w:ascii="Times New Roman" w:hAnsi="Times New Roman"/>
          <w:bCs/>
          <w:lang w:eastAsia="hr-HR"/>
        </w:rPr>
        <w:t>1,9</w:t>
      </w:r>
      <w:r w:rsidRPr="00235530">
        <w:rPr>
          <w:rFonts w:ascii="Times New Roman" w:hAnsi="Times New Roman"/>
          <w:bCs/>
          <w:lang w:eastAsia="hr-HR"/>
        </w:rPr>
        <w:t xml:space="preserve"> posto</w:t>
      </w:r>
      <w:r w:rsidR="00911414" w:rsidRPr="00235530">
        <w:rPr>
          <w:rFonts w:ascii="Times New Roman" w:hAnsi="Times New Roman"/>
          <w:bCs/>
          <w:lang w:eastAsia="hr-HR"/>
        </w:rPr>
        <w:t xml:space="preserve"> </w:t>
      </w:r>
      <w:r w:rsidR="00E67122">
        <w:rPr>
          <w:rFonts w:ascii="Times New Roman" w:hAnsi="Times New Roman"/>
          <w:bCs/>
          <w:lang w:eastAsia="hr-HR"/>
        </w:rPr>
        <w:t xml:space="preserve">u </w:t>
      </w:r>
      <w:r w:rsidR="00911414" w:rsidRPr="00235530">
        <w:rPr>
          <w:rFonts w:ascii="Times New Roman" w:hAnsi="Times New Roman"/>
          <w:bCs/>
          <w:lang w:eastAsia="hr-HR"/>
        </w:rPr>
        <w:t>odnosu na prethodnu godinu</w:t>
      </w:r>
      <w:r w:rsidRPr="00235530">
        <w:rPr>
          <w:rFonts w:ascii="Times New Roman" w:hAnsi="Times New Roman"/>
          <w:bCs/>
          <w:lang w:eastAsia="hr-HR"/>
        </w:rPr>
        <w:t xml:space="preserve">, te su u </w:t>
      </w:r>
      <w:r w:rsidR="004D59C4" w:rsidRPr="00235530">
        <w:rPr>
          <w:rFonts w:ascii="Times New Roman" w:hAnsi="Times New Roman"/>
          <w:bCs/>
          <w:lang w:eastAsia="hr-HR"/>
        </w:rPr>
        <w:t>201</w:t>
      </w:r>
      <w:r w:rsidR="00E67122">
        <w:rPr>
          <w:rFonts w:ascii="Times New Roman" w:hAnsi="Times New Roman"/>
          <w:bCs/>
          <w:lang w:eastAsia="hr-HR"/>
        </w:rPr>
        <w:t>9</w:t>
      </w:r>
      <w:r w:rsidRPr="00235530">
        <w:rPr>
          <w:rFonts w:ascii="Times New Roman" w:hAnsi="Times New Roman"/>
          <w:bCs/>
          <w:lang w:eastAsia="hr-HR"/>
        </w:rPr>
        <w:t xml:space="preserve">. godini ostvareni u iznosu od </w:t>
      </w:r>
      <w:r w:rsidR="00E67122">
        <w:rPr>
          <w:rFonts w:ascii="Times New Roman" w:hAnsi="Times New Roman"/>
          <w:bCs/>
          <w:lang w:eastAsia="hr-HR"/>
        </w:rPr>
        <w:t>184,5</w:t>
      </w:r>
      <w:r w:rsidR="004D59C4" w:rsidRPr="00235530">
        <w:rPr>
          <w:rFonts w:ascii="Times New Roman" w:hAnsi="Times New Roman"/>
          <w:bCs/>
          <w:lang w:eastAsia="hr-HR"/>
        </w:rPr>
        <w:t xml:space="preserve"> mln kuna</w:t>
      </w:r>
      <w:r w:rsidR="00911414" w:rsidRPr="00235530">
        <w:rPr>
          <w:rFonts w:ascii="Times New Roman" w:hAnsi="Times New Roman"/>
          <w:bCs/>
          <w:lang w:eastAsia="hr-HR"/>
        </w:rPr>
        <w:t>.</w:t>
      </w:r>
    </w:p>
    <w:p w14:paraId="7D33059B" w14:textId="77777777" w:rsidR="003C07EB" w:rsidRPr="00235530" w:rsidRDefault="003C07EB" w:rsidP="00F22680">
      <w:pPr>
        <w:spacing w:after="0" w:line="240" w:lineRule="auto"/>
        <w:jc w:val="both"/>
        <w:rPr>
          <w:rFonts w:ascii="Times New Roman" w:hAnsi="Times New Roman"/>
          <w:bCs/>
          <w:lang w:eastAsia="hr-HR"/>
        </w:rPr>
      </w:pPr>
    </w:p>
    <w:p w14:paraId="7D33059C" w14:textId="77777777" w:rsidR="00911414" w:rsidRPr="00235530" w:rsidRDefault="00911414" w:rsidP="00F22680">
      <w:pPr>
        <w:spacing w:after="0" w:line="240" w:lineRule="auto"/>
        <w:jc w:val="both"/>
        <w:rPr>
          <w:rFonts w:ascii="Times New Roman" w:hAnsi="Times New Roman"/>
          <w:bCs/>
          <w:lang w:eastAsia="hr-HR"/>
        </w:rPr>
      </w:pPr>
      <w:r w:rsidRPr="00235530">
        <w:rPr>
          <w:rFonts w:ascii="Times New Roman" w:hAnsi="Times New Roman"/>
          <w:bCs/>
          <w:lang w:eastAsia="hr-HR"/>
        </w:rPr>
        <w:t xml:space="preserve">Struktura prihoda izravno je ovisna o intencijama zakonodavca, te različitim strateškim okvirima koji se odnose na pojedina područja tako da se kroz promjene u pojedinim zakonskim ili podzakonskim aktima izravno utječe na prihode kako državnog, tako i proračuna JLPRS. </w:t>
      </w:r>
    </w:p>
    <w:p w14:paraId="7D33059D" w14:textId="77777777" w:rsidR="00911414" w:rsidRPr="00235530" w:rsidRDefault="00911414" w:rsidP="00446110">
      <w:pPr>
        <w:spacing w:after="0" w:line="240" w:lineRule="auto"/>
        <w:rPr>
          <w:rFonts w:ascii="Times New Roman" w:hAnsi="Times New Roman"/>
          <w:b/>
          <w:bCs/>
        </w:rPr>
      </w:pPr>
    </w:p>
    <w:p w14:paraId="7D33059E" w14:textId="77777777" w:rsidR="00911414" w:rsidRPr="00235530" w:rsidRDefault="00543499" w:rsidP="00301844">
      <w:pPr>
        <w:spacing w:after="0" w:line="240" w:lineRule="auto"/>
        <w:jc w:val="both"/>
        <w:rPr>
          <w:rFonts w:ascii="Times New Roman" w:hAnsi="Times New Roman"/>
        </w:rPr>
      </w:pPr>
      <w:r w:rsidRPr="00235530">
        <w:rPr>
          <w:rFonts w:ascii="Times New Roman" w:hAnsi="Times New Roman"/>
          <w:b/>
          <w:bCs/>
        </w:rPr>
        <w:t xml:space="preserve">Prihodi </w:t>
      </w:r>
      <w:r w:rsidR="00911414" w:rsidRPr="00235530">
        <w:rPr>
          <w:rFonts w:ascii="Times New Roman" w:hAnsi="Times New Roman"/>
          <w:b/>
          <w:bCs/>
        </w:rPr>
        <w:t xml:space="preserve"> </w:t>
      </w:r>
      <w:r w:rsidRPr="00235530">
        <w:rPr>
          <w:rFonts w:ascii="Times New Roman" w:hAnsi="Times New Roman"/>
          <w:b/>
          <w:bCs/>
        </w:rPr>
        <w:t>gradskih/općinskih proračuna u  zajedničkim prihodima državnog, gradskih i općinskih proračuna</w:t>
      </w:r>
      <w:r w:rsidR="00301844" w:rsidRPr="00235530">
        <w:rPr>
          <w:rFonts w:ascii="Times New Roman" w:hAnsi="Times New Roman"/>
          <w:b/>
          <w:bCs/>
        </w:rPr>
        <w:t xml:space="preserve"> </w:t>
      </w:r>
      <w:r w:rsidR="00301844" w:rsidRPr="00235530">
        <w:rPr>
          <w:rFonts w:ascii="Times New Roman" w:hAnsi="Times New Roman"/>
          <w:bCs/>
        </w:rPr>
        <w:t>- u</w:t>
      </w:r>
      <w:r w:rsidR="00911414" w:rsidRPr="00235530">
        <w:rPr>
          <w:rFonts w:ascii="Times New Roman" w:hAnsi="Times New Roman"/>
        </w:rPr>
        <w:t xml:space="preserve"> ovu skupinu prihoda </w:t>
      </w:r>
      <w:r w:rsidR="00A1153A" w:rsidRPr="00235530">
        <w:rPr>
          <w:rFonts w:ascii="Times New Roman" w:hAnsi="Times New Roman"/>
        </w:rPr>
        <w:t>ulaze</w:t>
      </w:r>
      <w:r w:rsidR="00911414" w:rsidRPr="00235530">
        <w:rPr>
          <w:rFonts w:ascii="Times New Roman" w:hAnsi="Times New Roman"/>
        </w:rPr>
        <w:t xml:space="preserve">: </w:t>
      </w:r>
      <w:r w:rsidR="001D4759" w:rsidRPr="00235530">
        <w:rPr>
          <w:rFonts w:ascii="Times New Roman" w:hAnsi="Times New Roman"/>
        </w:rPr>
        <w:t>n</w:t>
      </w:r>
      <w:r w:rsidR="00911414" w:rsidRPr="00235530">
        <w:rPr>
          <w:rFonts w:ascii="Times New Roman" w:hAnsi="Times New Roman"/>
        </w:rPr>
        <w:t>aknade za koncesije za mineralne i termalne vode, naknada za koncesije za javnu vodoopskrbu, naknada za koncesije za osnivanje slobodnih zona i naknada za koncesije za zahvaćanje pitke vode i prodaja na tržištu u bocama i drugoj ambalaži.</w:t>
      </w:r>
    </w:p>
    <w:p w14:paraId="7D33059F" w14:textId="77777777" w:rsidR="00911414" w:rsidRPr="00235530" w:rsidRDefault="00911414" w:rsidP="00301844">
      <w:pPr>
        <w:spacing w:after="0" w:line="240" w:lineRule="auto"/>
        <w:jc w:val="both"/>
        <w:rPr>
          <w:rFonts w:ascii="Times New Roman" w:hAnsi="Times New Roman"/>
        </w:rPr>
      </w:pPr>
    </w:p>
    <w:p w14:paraId="7D3305A0" w14:textId="77777777" w:rsidR="00911414" w:rsidRPr="00235530" w:rsidRDefault="00301B15" w:rsidP="00301844">
      <w:pPr>
        <w:spacing w:after="0" w:line="240" w:lineRule="auto"/>
        <w:jc w:val="both"/>
        <w:rPr>
          <w:rFonts w:ascii="Times New Roman" w:hAnsi="Times New Roman"/>
        </w:rPr>
      </w:pPr>
      <w:r w:rsidRPr="00E67122">
        <w:rPr>
          <w:rFonts w:ascii="Times New Roman" w:hAnsi="Times New Roman"/>
        </w:rPr>
        <w:t xml:space="preserve">U </w:t>
      </w:r>
      <w:r w:rsidR="00543499" w:rsidRPr="00E67122">
        <w:rPr>
          <w:rFonts w:ascii="Times New Roman" w:hAnsi="Times New Roman"/>
        </w:rPr>
        <w:t>201</w:t>
      </w:r>
      <w:r w:rsidR="00E67122">
        <w:rPr>
          <w:rFonts w:ascii="Times New Roman" w:hAnsi="Times New Roman"/>
        </w:rPr>
        <w:t>9</w:t>
      </w:r>
      <w:r w:rsidR="00911414" w:rsidRPr="00E67122">
        <w:rPr>
          <w:rFonts w:ascii="Times New Roman" w:hAnsi="Times New Roman"/>
        </w:rPr>
        <w:t xml:space="preserve">. godini </w:t>
      </w:r>
      <w:r w:rsidR="00EE0831" w:rsidRPr="00E67122">
        <w:rPr>
          <w:rFonts w:ascii="Times New Roman" w:hAnsi="Times New Roman"/>
        </w:rPr>
        <w:t>p</w:t>
      </w:r>
      <w:r w:rsidR="00911414" w:rsidRPr="00E67122">
        <w:rPr>
          <w:rFonts w:ascii="Times New Roman" w:hAnsi="Times New Roman"/>
        </w:rPr>
        <w:t xml:space="preserve">roračunima gradova/općina </w:t>
      </w:r>
      <w:r w:rsidR="00543499" w:rsidRPr="00E67122">
        <w:rPr>
          <w:rFonts w:ascii="Times New Roman" w:hAnsi="Times New Roman"/>
        </w:rPr>
        <w:t>raspoređen</w:t>
      </w:r>
      <w:r w:rsidR="00911414" w:rsidRPr="00E67122">
        <w:rPr>
          <w:rFonts w:ascii="Times New Roman" w:hAnsi="Times New Roman"/>
        </w:rPr>
        <w:t xml:space="preserve"> je iznos od </w:t>
      </w:r>
      <w:r w:rsidR="0090540E">
        <w:rPr>
          <w:rFonts w:ascii="Times New Roman" w:hAnsi="Times New Roman"/>
        </w:rPr>
        <w:t>8,6</w:t>
      </w:r>
      <w:r w:rsidR="00EE0831" w:rsidRPr="00E67122">
        <w:rPr>
          <w:rFonts w:ascii="Times New Roman" w:hAnsi="Times New Roman"/>
        </w:rPr>
        <w:t xml:space="preserve"> mln</w:t>
      </w:r>
      <w:r w:rsidR="00543499" w:rsidRPr="00E67122">
        <w:rPr>
          <w:rFonts w:ascii="Times New Roman" w:hAnsi="Times New Roman"/>
        </w:rPr>
        <w:t xml:space="preserve"> kuna, a u 201</w:t>
      </w:r>
      <w:r w:rsidR="00E67122">
        <w:rPr>
          <w:rFonts w:ascii="Times New Roman" w:hAnsi="Times New Roman"/>
        </w:rPr>
        <w:t>8</w:t>
      </w:r>
      <w:r w:rsidR="00543499" w:rsidRPr="00E67122">
        <w:rPr>
          <w:rFonts w:ascii="Times New Roman" w:hAnsi="Times New Roman"/>
        </w:rPr>
        <w:t xml:space="preserve">. godini </w:t>
      </w:r>
      <w:r w:rsidR="00530C9A" w:rsidRPr="00E67122">
        <w:rPr>
          <w:rFonts w:ascii="Times New Roman" w:hAnsi="Times New Roman"/>
        </w:rPr>
        <w:t xml:space="preserve">raspoređen </w:t>
      </w:r>
      <w:r w:rsidR="00543499" w:rsidRPr="00E67122">
        <w:rPr>
          <w:rFonts w:ascii="Times New Roman" w:hAnsi="Times New Roman"/>
        </w:rPr>
        <w:t xml:space="preserve">iznos od </w:t>
      </w:r>
      <w:r w:rsidR="00E67122">
        <w:rPr>
          <w:rFonts w:ascii="Times New Roman" w:hAnsi="Times New Roman"/>
        </w:rPr>
        <w:t>8,8</w:t>
      </w:r>
      <w:r w:rsidR="00543499" w:rsidRPr="00E67122">
        <w:rPr>
          <w:rFonts w:ascii="Times New Roman" w:hAnsi="Times New Roman"/>
        </w:rPr>
        <w:t xml:space="preserve"> mln kuna, što je </w:t>
      </w:r>
      <w:r w:rsidR="00E67122">
        <w:rPr>
          <w:rFonts w:ascii="Times New Roman" w:hAnsi="Times New Roman"/>
        </w:rPr>
        <w:t>smanjenje</w:t>
      </w:r>
      <w:r w:rsidR="00543499" w:rsidRPr="00E67122">
        <w:rPr>
          <w:rFonts w:ascii="Times New Roman" w:hAnsi="Times New Roman"/>
        </w:rPr>
        <w:t xml:space="preserve"> za </w:t>
      </w:r>
      <w:r w:rsidR="002C4000">
        <w:rPr>
          <w:rFonts w:ascii="Times New Roman" w:hAnsi="Times New Roman"/>
        </w:rPr>
        <w:t>2,5</w:t>
      </w:r>
      <w:r w:rsidR="00543499" w:rsidRPr="00E67122">
        <w:rPr>
          <w:rFonts w:ascii="Times New Roman" w:hAnsi="Times New Roman"/>
        </w:rPr>
        <w:t xml:space="preserve"> posto.</w:t>
      </w:r>
    </w:p>
    <w:p w14:paraId="7D3305A1" w14:textId="77777777" w:rsidR="00EE0831" w:rsidRPr="00235530" w:rsidRDefault="00EE0831" w:rsidP="00301844">
      <w:pPr>
        <w:spacing w:after="0" w:line="240" w:lineRule="auto"/>
        <w:jc w:val="both"/>
        <w:rPr>
          <w:rFonts w:ascii="Times New Roman" w:hAnsi="Times New Roman"/>
          <w:bCs/>
        </w:rPr>
      </w:pPr>
    </w:p>
    <w:p w14:paraId="7D3305A2" w14:textId="77777777" w:rsidR="00911414" w:rsidRPr="00235530" w:rsidRDefault="00543499" w:rsidP="00301844">
      <w:pPr>
        <w:spacing w:after="0" w:line="240" w:lineRule="auto"/>
        <w:jc w:val="both"/>
        <w:rPr>
          <w:rFonts w:ascii="Times New Roman" w:hAnsi="Times New Roman"/>
        </w:rPr>
      </w:pPr>
      <w:r w:rsidRPr="00830B8F">
        <w:rPr>
          <w:rFonts w:ascii="Times New Roman" w:hAnsi="Times New Roman"/>
          <w:b/>
          <w:bCs/>
        </w:rPr>
        <w:lastRenderedPageBreak/>
        <w:t xml:space="preserve">Prihodi  županijskih i gradskih/općinskih proračuna u </w:t>
      </w:r>
      <w:r w:rsidR="00DD2565" w:rsidRPr="00830B8F">
        <w:rPr>
          <w:rFonts w:ascii="Times New Roman" w:hAnsi="Times New Roman"/>
          <w:b/>
          <w:bCs/>
        </w:rPr>
        <w:t>z</w:t>
      </w:r>
      <w:r w:rsidR="00911414" w:rsidRPr="00830B8F">
        <w:rPr>
          <w:rFonts w:ascii="Times New Roman" w:hAnsi="Times New Roman"/>
          <w:b/>
          <w:bCs/>
        </w:rPr>
        <w:t>ajednički</w:t>
      </w:r>
      <w:r w:rsidRPr="00830B8F">
        <w:rPr>
          <w:rFonts w:ascii="Times New Roman" w:hAnsi="Times New Roman"/>
          <w:b/>
          <w:bCs/>
        </w:rPr>
        <w:t>m</w:t>
      </w:r>
      <w:r w:rsidR="00911414" w:rsidRPr="00830B8F">
        <w:rPr>
          <w:rFonts w:ascii="Times New Roman" w:hAnsi="Times New Roman"/>
          <w:b/>
          <w:bCs/>
        </w:rPr>
        <w:t xml:space="preserve"> prihodi </w:t>
      </w:r>
      <w:r w:rsidRPr="00830B8F">
        <w:rPr>
          <w:rFonts w:ascii="Times New Roman" w:hAnsi="Times New Roman"/>
          <w:b/>
          <w:bCs/>
        </w:rPr>
        <w:t xml:space="preserve">ma </w:t>
      </w:r>
      <w:r w:rsidR="00911414" w:rsidRPr="00830B8F">
        <w:rPr>
          <w:rFonts w:ascii="Times New Roman" w:hAnsi="Times New Roman"/>
          <w:b/>
          <w:bCs/>
        </w:rPr>
        <w:t>državnog proračuna, županijskih proračuna i proračuna grada/općine</w:t>
      </w:r>
      <w:r w:rsidR="00301844" w:rsidRPr="00830B8F">
        <w:rPr>
          <w:rFonts w:ascii="Times New Roman" w:hAnsi="Times New Roman"/>
          <w:b/>
          <w:bCs/>
        </w:rPr>
        <w:t xml:space="preserve"> - u</w:t>
      </w:r>
      <w:r w:rsidR="00911414" w:rsidRPr="00830B8F">
        <w:rPr>
          <w:rFonts w:ascii="Times New Roman" w:hAnsi="Times New Roman"/>
          <w:b/>
        </w:rPr>
        <w:t xml:space="preserve"> ovu skupinu prihoda ulaze:</w:t>
      </w:r>
      <w:r w:rsidR="00911414" w:rsidRPr="00235530">
        <w:rPr>
          <w:rFonts w:ascii="Times New Roman" w:hAnsi="Times New Roman"/>
        </w:rPr>
        <w:t xml:space="preserve"> </w:t>
      </w:r>
      <w:r w:rsidRPr="00235530">
        <w:rPr>
          <w:rFonts w:ascii="Times New Roman" w:hAnsi="Times New Roman"/>
        </w:rPr>
        <w:t xml:space="preserve">naknada za koncesije za korištenje poljoprivrednog zemljišta u vlasništvu RH po odlukama Vlade RH, </w:t>
      </w:r>
      <w:r w:rsidR="001D4759" w:rsidRPr="00235530">
        <w:rPr>
          <w:rFonts w:ascii="Times New Roman" w:hAnsi="Times New Roman"/>
        </w:rPr>
        <w:t>n</w:t>
      </w:r>
      <w:r w:rsidR="00911414" w:rsidRPr="00235530">
        <w:rPr>
          <w:rFonts w:ascii="Times New Roman" w:hAnsi="Times New Roman"/>
        </w:rPr>
        <w:t>aknada za koncesiju za poljoprivredno zemljište u vlasništvu države, naknada za koncesiju na pomorskom dobru, naknada za koncesiju za otkopane količine neenergetskih mineralnih sirovina, naknada za koncesije za istraživanje mineralnih sirovina, naknada za pridobivene količine energetskih mineralnih sirovina (plin), naknada za pridobivene energetske mineralne sirovine (nafta i kondenzati),</w:t>
      </w:r>
      <w:r w:rsidR="005B5103">
        <w:rPr>
          <w:rFonts w:ascii="Times New Roman" w:hAnsi="Times New Roman"/>
        </w:rPr>
        <w:t xml:space="preserve"> </w:t>
      </w:r>
      <w:r w:rsidR="00911414" w:rsidRPr="00235530">
        <w:rPr>
          <w:rFonts w:ascii="Times New Roman" w:hAnsi="Times New Roman"/>
        </w:rPr>
        <w:t>naknada za koncesije za turističko zemljište u kampovima, naknada za koncesije za turističko zemljište za hotele i turistička naselja, naknada za koncesiju za izgradnju i upravljanje zračnom lukom</w:t>
      </w:r>
      <w:r w:rsidR="00A71C02">
        <w:rPr>
          <w:rFonts w:ascii="Times New Roman" w:hAnsi="Times New Roman"/>
        </w:rPr>
        <w:t xml:space="preserve"> (</w:t>
      </w:r>
      <w:r w:rsidR="00A71C02">
        <w:rPr>
          <w:rFonts w:ascii="Times New Roman" w:hAnsi="Times New Roman"/>
          <w:bCs/>
        </w:rPr>
        <w:t>za ovu vrstu naknade vidjeti obrazloženje na str. 13</w:t>
      </w:r>
      <w:r w:rsidR="000C140A">
        <w:rPr>
          <w:rFonts w:ascii="Times New Roman" w:hAnsi="Times New Roman"/>
          <w:bCs/>
        </w:rPr>
        <w:t>.</w:t>
      </w:r>
      <w:r w:rsidR="00A71C02">
        <w:rPr>
          <w:rFonts w:ascii="Times New Roman" w:hAnsi="Times New Roman"/>
          <w:bCs/>
        </w:rPr>
        <w:t>)</w:t>
      </w:r>
      <w:r w:rsidR="00911414" w:rsidRPr="00235530">
        <w:rPr>
          <w:rFonts w:ascii="Times New Roman" w:hAnsi="Times New Roman"/>
        </w:rPr>
        <w:t xml:space="preserve"> i naknada za koncesiju za korištenje vode za ribnjake.</w:t>
      </w:r>
    </w:p>
    <w:p w14:paraId="7D3305A3" w14:textId="77777777" w:rsidR="00911414" w:rsidRPr="00235530" w:rsidRDefault="00911414" w:rsidP="00446110">
      <w:pPr>
        <w:spacing w:after="0" w:line="240" w:lineRule="auto"/>
        <w:jc w:val="both"/>
        <w:rPr>
          <w:rFonts w:ascii="Times New Roman" w:hAnsi="Times New Roman"/>
        </w:rPr>
      </w:pPr>
    </w:p>
    <w:p w14:paraId="7D3305A4" w14:textId="77777777" w:rsidR="00911414" w:rsidRPr="00235530" w:rsidRDefault="00911414" w:rsidP="003D6A98">
      <w:pPr>
        <w:spacing w:after="0" w:line="240" w:lineRule="auto"/>
        <w:jc w:val="both"/>
        <w:rPr>
          <w:rFonts w:ascii="Times New Roman" w:hAnsi="Times New Roman"/>
        </w:rPr>
      </w:pPr>
      <w:r w:rsidRPr="00235530">
        <w:rPr>
          <w:rFonts w:ascii="Times New Roman" w:hAnsi="Times New Roman"/>
        </w:rPr>
        <w:t xml:space="preserve">U </w:t>
      </w:r>
      <w:r w:rsidR="00543499" w:rsidRPr="00235530">
        <w:rPr>
          <w:rFonts w:ascii="Times New Roman" w:hAnsi="Times New Roman"/>
        </w:rPr>
        <w:t>201</w:t>
      </w:r>
      <w:r w:rsidR="006409A4">
        <w:rPr>
          <w:rFonts w:ascii="Times New Roman" w:hAnsi="Times New Roman"/>
        </w:rPr>
        <w:t>9</w:t>
      </w:r>
      <w:r w:rsidRPr="00235530">
        <w:rPr>
          <w:rFonts w:ascii="Times New Roman" w:hAnsi="Times New Roman"/>
        </w:rPr>
        <w:t xml:space="preserve">. godini </w:t>
      </w:r>
      <w:r w:rsidR="001D4759" w:rsidRPr="00235530">
        <w:rPr>
          <w:rFonts w:ascii="Times New Roman" w:hAnsi="Times New Roman"/>
        </w:rPr>
        <w:t>p</w:t>
      </w:r>
      <w:r w:rsidRPr="00235530">
        <w:rPr>
          <w:rFonts w:ascii="Times New Roman" w:hAnsi="Times New Roman"/>
        </w:rPr>
        <w:t xml:space="preserve">roračunima županija </w:t>
      </w:r>
      <w:r w:rsidR="00543499" w:rsidRPr="00235530">
        <w:rPr>
          <w:rFonts w:ascii="Times New Roman" w:hAnsi="Times New Roman"/>
        </w:rPr>
        <w:t xml:space="preserve">raspoređen </w:t>
      </w:r>
      <w:r w:rsidRPr="00235530">
        <w:rPr>
          <w:rFonts w:ascii="Times New Roman" w:hAnsi="Times New Roman"/>
        </w:rPr>
        <w:t xml:space="preserve">je iznos od </w:t>
      </w:r>
      <w:r w:rsidR="00830B8F">
        <w:rPr>
          <w:rFonts w:ascii="Times New Roman" w:hAnsi="Times New Roman"/>
        </w:rPr>
        <w:t>109,9</w:t>
      </w:r>
      <w:r w:rsidR="00EE0831" w:rsidRPr="00235530">
        <w:rPr>
          <w:rFonts w:ascii="Times New Roman" w:hAnsi="Times New Roman"/>
        </w:rPr>
        <w:t xml:space="preserve"> mln kuna</w:t>
      </w:r>
      <w:r w:rsidR="003B39EA" w:rsidRPr="00235530">
        <w:rPr>
          <w:rFonts w:ascii="Times New Roman" w:hAnsi="Times New Roman"/>
        </w:rPr>
        <w:t xml:space="preserve">, a </w:t>
      </w:r>
      <w:r w:rsidR="008E266A" w:rsidRPr="00235530">
        <w:rPr>
          <w:rFonts w:ascii="Times New Roman" w:hAnsi="Times New Roman"/>
        </w:rPr>
        <w:t>p</w:t>
      </w:r>
      <w:r w:rsidRPr="00235530">
        <w:rPr>
          <w:rFonts w:ascii="Times New Roman" w:hAnsi="Times New Roman"/>
        </w:rPr>
        <w:t xml:space="preserve">roračunima gradova/općina iznos od </w:t>
      </w:r>
      <w:r w:rsidR="00830B8F">
        <w:rPr>
          <w:rFonts w:ascii="Times New Roman" w:hAnsi="Times New Roman"/>
        </w:rPr>
        <w:t>176,5</w:t>
      </w:r>
      <w:r w:rsidR="00EE0831" w:rsidRPr="00235530">
        <w:rPr>
          <w:rFonts w:ascii="Times New Roman" w:hAnsi="Times New Roman"/>
        </w:rPr>
        <w:t xml:space="preserve"> mln kuna</w:t>
      </w:r>
      <w:r w:rsidRPr="00235530">
        <w:rPr>
          <w:rFonts w:ascii="Times New Roman" w:hAnsi="Times New Roman"/>
        </w:rPr>
        <w:t>.</w:t>
      </w:r>
      <w:r w:rsidR="003B39EA" w:rsidRPr="00235530">
        <w:rPr>
          <w:rFonts w:ascii="Times New Roman" w:hAnsi="Times New Roman"/>
        </w:rPr>
        <w:t xml:space="preserve"> Gradski/općinski proračuni ostvarili su povećanje od </w:t>
      </w:r>
      <w:r w:rsidR="00830B8F">
        <w:rPr>
          <w:rFonts w:ascii="Times New Roman" w:hAnsi="Times New Roman"/>
        </w:rPr>
        <w:t>2,5</w:t>
      </w:r>
      <w:r w:rsidR="003B39EA" w:rsidRPr="00235530">
        <w:rPr>
          <w:rFonts w:ascii="Times New Roman" w:hAnsi="Times New Roman"/>
        </w:rPr>
        <w:t xml:space="preserve"> posto, dok su županijski proračuni </w:t>
      </w:r>
      <w:r w:rsidR="004D59C4" w:rsidRPr="00235530">
        <w:rPr>
          <w:rFonts w:ascii="Times New Roman" w:hAnsi="Times New Roman"/>
        </w:rPr>
        <w:t xml:space="preserve">ostvarili </w:t>
      </w:r>
      <w:r w:rsidR="00830B8F">
        <w:rPr>
          <w:rFonts w:ascii="Times New Roman" w:hAnsi="Times New Roman"/>
        </w:rPr>
        <w:t>smanjenje</w:t>
      </w:r>
      <w:r w:rsidR="004D59C4" w:rsidRPr="00235530">
        <w:rPr>
          <w:rFonts w:ascii="Times New Roman" w:hAnsi="Times New Roman"/>
        </w:rPr>
        <w:t xml:space="preserve"> od </w:t>
      </w:r>
      <w:r w:rsidR="00830B8F">
        <w:rPr>
          <w:rFonts w:ascii="Times New Roman" w:hAnsi="Times New Roman"/>
        </w:rPr>
        <w:t>3,5</w:t>
      </w:r>
      <w:r w:rsidR="004D59C4" w:rsidRPr="00235530">
        <w:rPr>
          <w:rFonts w:ascii="Times New Roman" w:hAnsi="Times New Roman"/>
        </w:rPr>
        <w:t xml:space="preserve"> posto</w:t>
      </w:r>
      <w:r w:rsidR="003B39EA" w:rsidRPr="00235530">
        <w:rPr>
          <w:rFonts w:ascii="Times New Roman" w:hAnsi="Times New Roman"/>
        </w:rPr>
        <w:t>.</w:t>
      </w:r>
    </w:p>
    <w:p w14:paraId="7D3305A5" w14:textId="77777777" w:rsidR="00C23998" w:rsidRPr="00235530" w:rsidRDefault="00C23998" w:rsidP="00446110">
      <w:pPr>
        <w:spacing w:after="0" w:line="240" w:lineRule="auto"/>
        <w:rPr>
          <w:rFonts w:ascii="Times New Roman" w:hAnsi="Times New Roman"/>
          <w:b/>
          <w:bCs/>
        </w:rPr>
      </w:pPr>
    </w:p>
    <w:p w14:paraId="7D3305A6" w14:textId="77777777" w:rsidR="003B39EA" w:rsidRPr="00235530" w:rsidRDefault="003B39EA" w:rsidP="00301844">
      <w:pPr>
        <w:spacing w:after="0" w:line="240" w:lineRule="auto"/>
        <w:jc w:val="both"/>
        <w:rPr>
          <w:rFonts w:ascii="Times New Roman" w:hAnsi="Times New Roman"/>
        </w:rPr>
      </w:pPr>
      <w:r w:rsidRPr="00235530">
        <w:rPr>
          <w:rFonts w:ascii="Times New Roman" w:hAnsi="Times New Roman"/>
          <w:b/>
          <w:bCs/>
        </w:rPr>
        <w:t xml:space="preserve">Prihodi  županijskih proračuna  u </w:t>
      </w:r>
      <w:r w:rsidR="008E266A" w:rsidRPr="00235530">
        <w:rPr>
          <w:rFonts w:ascii="Times New Roman" w:hAnsi="Times New Roman"/>
          <w:b/>
          <w:bCs/>
        </w:rPr>
        <w:t>z</w:t>
      </w:r>
      <w:r w:rsidR="00911414" w:rsidRPr="00235530">
        <w:rPr>
          <w:rFonts w:ascii="Times New Roman" w:hAnsi="Times New Roman"/>
          <w:b/>
          <w:bCs/>
        </w:rPr>
        <w:t>ajednički</w:t>
      </w:r>
      <w:r w:rsidRPr="00235530">
        <w:rPr>
          <w:rFonts w:ascii="Times New Roman" w:hAnsi="Times New Roman"/>
          <w:b/>
          <w:bCs/>
        </w:rPr>
        <w:t xml:space="preserve">m </w:t>
      </w:r>
      <w:r w:rsidR="00911414" w:rsidRPr="00235530">
        <w:rPr>
          <w:rFonts w:ascii="Times New Roman" w:hAnsi="Times New Roman"/>
          <w:b/>
          <w:bCs/>
        </w:rPr>
        <w:t xml:space="preserve"> prihodi</w:t>
      </w:r>
      <w:r w:rsidRPr="00235530">
        <w:rPr>
          <w:rFonts w:ascii="Times New Roman" w:hAnsi="Times New Roman"/>
          <w:b/>
          <w:bCs/>
        </w:rPr>
        <w:t>ma</w:t>
      </w:r>
      <w:r w:rsidR="00911414" w:rsidRPr="00235530">
        <w:rPr>
          <w:rFonts w:ascii="Times New Roman" w:hAnsi="Times New Roman"/>
          <w:b/>
          <w:bCs/>
        </w:rPr>
        <w:t xml:space="preserve"> državnog i županijskih proračuna</w:t>
      </w:r>
      <w:r w:rsidR="00301844" w:rsidRPr="00235530">
        <w:rPr>
          <w:rFonts w:ascii="Times New Roman" w:hAnsi="Times New Roman"/>
          <w:b/>
          <w:bCs/>
        </w:rPr>
        <w:t xml:space="preserve"> - u</w:t>
      </w:r>
      <w:r w:rsidR="00911414" w:rsidRPr="00235530">
        <w:rPr>
          <w:rFonts w:ascii="Times New Roman" w:hAnsi="Times New Roman"/>
        </w:rPr>
        <w:t xml:space="preserve"> ovu skupinu prihoda spadaju naknada za koncesiju za pravo lova i naknada za koncesiju za gospodarsko korištenje voda. </w:t>
      </w:r>
      <w:r w:rsidRPr="00235530">
        <w:rPr>
          <w:rFonts w:ascii="Times New Roman" w:hAnsi="Times New Roman"/>
        </w:rPr>
        <w:t>U 201</w:t>
      </w:r>
      <w:r w:rsidR="00830B8F">
        <w:rPr>
          <w:rFonts w:ascii="Times New Roman" w:hAnsi="Times New Roman"/>
        </w:rPr>
        <w:t>9</w:t>
      </w:r>
      <w:r w:rsidRPr="00235530">
        <w:rPr>
          <w:rFonts w:ascii="Times New Roman" w:hAnsi="Times New Roman"/>
        </w:rPr>
        <w:t xml:space="preserve">. godini </w:t>
      </w:r>
      <w:r w:rsidR="001D4759" w:rsidRPr="00235530">
        <w:rPr>
          <w:rFonts w:ascii="Times New Roman" w:hAnsi="Times New Roman"/>
        </w:rPr>
        <w:t>p</w:t>
      </w:r>
      <w:r w:rsidRPr="00235530">
        <w:rPr>
          <w:rFonts w:ascii="Times New Roman" w:hAnsi="Times New Roman"/>
        </w:rPr>
        <w:t xml:space="preserve">roračunima županija raspoređen je iznos od </w:t>
      </w:r>
      <w:r w:rsidR="00830B8F">
        <w:rPr>
          <w:rFonts w:ascii="Times New Roman" w:hAnsi="Times New Roman"/>
        </w:rPr>
        <w:t>8,7</w:t>
      </w:r>
      <w:r w:rsidRPr="00235530">
        <w:rPr>
          <w:rFonts w:ascii="Times New Roman" w:hAnsi="Times New Roman"/>
        </w:rPr>
        <w:t xml:space="preserve"> mln kuna</w:t>
      </w:r>
      <w:r w:rsidR="00530C9A">
        <w:rPr>
          <w:rFonts w:ascii="Times New Roman" w:hAnsi="Times New Roman"/>
        </w:rPr>
        <w:t>,</w:t>
      </w:r>
      <w:r w:rsidRPr="00235530">
        <w:rPr>
          <w:rFonts w:ascii="Times New Roman" w:hAnsi="Times New Roman"/>
        </w:rPr>
        <w:t xml:space="preserve"> </w:t>
      </w:r>
      <w:r w:rsidR="00530C9A">
        <w:rPr>
          <w:rFonts w:ascii="Times New Roman" w:hAnsi="Times New Roman"/>
        </w:rPr>
        <w:t>a u 201</w:t>
      </w:r>
      <w:r w:rsidR="00830B8F">
        <w:rPr>
          <w:rFonts w:ascii="Times New Roman" w:hAnsi="Times New Roman"/>
        </w:rPr>
        <w:t>8</w:t>
      </w:r>
      <w:r w:rsidR="00530C9A">
        <w:rPr>
          <w:rFonts w:ascii="Times New Roman" w:hAnsi="Times New Roman"/>
        </w:rPr>
        <w:t xml:space="preserve">. godini iznos od </w:t>
      </w:r>
      <w:r w:rsidR="00830B8F">
        <w:rPr>
          <w:rFonts w:ascii="Times New Roman" w:hAnsi="Times New Roman"/>
        </w:rPr>
        <w:t>7,2 mln kuna, što je povećanje od 22,2 posto.</w:t>
      </w:r>
    </w:p>
    <w:p w14:paraId="7D3305A7" w14:textId="77777777" w:rsidR="00301844" w:rsidRDefault="00301844" w:rsidP="003852DD">
      <w:pPr>
        <w:autoSpaceDE w:val="0"/>
        <w:autoSpaceDN w:val="0"/>
        <w:adjustRightInd w:val="0"/>
        <w:spacing w:after="0" w:line="240" w:lineRule="auto"/>
        <w:jc w:val="both"/>
        <w:rPr>
          <w:rFonts w:ascii="Times New Roman" w:hAnsi="Times New Roman"/>
          <w:b/>
          <w:sz w:val="20"/>
          <w:szCs w:val="20"/>
          <w:lang w:eastAsia="hr-HR"/>
        </w:rPr>
      </w:pPr>
    </w:p>
    <w:p w14:paraId="7D3305A8" w14:textId="77777777" w:rsidR="003852DD" w:rsidRPr="00235530" w:rsidRDefault="003852DD" w:rsidP="003852DD">
      <w:pPr>
        <w:autoSpaceDE w:val="0"/>
        <w:autoSpaceDN w:val="0"/>
        <w:adjustRightInd w:val="0"/>
        <w:spacing w:after="0" w:line="240" w:lineRule="auto"/>
        <w:jc w:val="both"/>
        <w:rPr>
          <w:rFonts w:ascii="Times New Roman" w:hAnsi="Times New Roman"/>
          <w:sz w:val="20"/>
          <w:szCs w:val="20"/>
          <w:lang w:eastAsia="hr-HR"/>
        </w:rPr>
      </w:pPr>
      <w:r w:rsidRPr="00235530">
        <w:rPr>
          <w:rFonts w:ascii="Times New Roman" w:hAnsi="Times New Roman"/>
          <w:b/>
          <w:sz w:val="20"/>
          <w:szCs w:val="20"/>
          <w:lang w:eastAsia="hr-HR"/>
        </w:rPr>
        <w:t xml:space="preserve">Tablica </w:t>
      </w:r>
      <w:r w:rsidR="00E17C10" w:rsidRPr="00235530">
        <w:rPr>
          <w:rFonts w:ascii="Times New Roman" w:hAnsi="Times New Roman"/>
          <w:b/>
          <w:sz w:val="20"/>
          <w:szCs w:val="20"/>
          <w:lang w:eastAsia="hr-HR"/>
        </w:rPr>
        <w:t>5</w:t>
      </w:r>
      <w:r w:rsidRPr="00235530">
        <w:rPr>
          <w:rFonts w:ascii="Times New Roman" w:hAnsi="Times New Roman"/>
          <w:b/>
          <w:sz w:val="20"/>
          <w:szCs w:val="20"/>
          <w:lang w:eastAsia="hr-HR"/>
        </w:rPr>
        <w:t xml:space="preserve">. </w:t>
      </w:r>
      <w:r w:rsidRPr="00235530">
        <w:rPr>
          <w:rFonts w:ascii="Times New Roman" w:hAnsi="Times New Roman"/>
          <w:sz w:val="20"/>
          <w:szCs w:val="20"/>
          <w:lang w:eastAsia="hr-HR"/>
        </w:rPr>
        <w:t>Prikaz prihoda JLPRS-a  od naknade za koncesiju s osnova zajedničkih prihoda po vrstama koncesije</w:t>
      </w:r>
    </w:p>
    <w:p w14:paraId="7D3305A9" w14:textId="77777777" w:rsidR="00B45873" w:rsidRPr="00235530" w:rsidRDefault="00EB5996" w:rsidP="003852DD">
      <w:pPr>
        <w:autoSpaceDE w:val="0"/>
        <w:autoSpaceDN w:val="0"/>
        <w:adjustRightInd w:val="0"/>
        <w:spacing w:after="0" w:line="240" w:lineRule="auto"/>
        <w:jc w:val="both"/>
        <w:rPr>
          <w:rFonts w:ascii="Times New Roman" w:hAnsi="Times New Roman"/>
          <w:b/>
          <w:sz w:val="20"/>
          <w:szCs w:val="20"/>
          <w:lang w:eastAsia="hr-HR"/>
        </w:rPr>
      </w:pPr>
      <w:r w:rsidRPr="00EB5996">
        <w:rPr>
          <w:noProof/>
          <w:lang w:eastAsia="hr-HR"/>
        </w:rPr>
        <w:drawing>
          <wp:inline distT="0" distB="0" distL="0" distR="0" wp14:anchorId="7D3306E0" wp14:editId="7D3306E1">
            <wp:extent cx="5759450" cy="3603696"/>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603696"/>
                    </a:xfrm>
                    <a:prstGeom prst="rect">
                      <a:avLst/>
                    </a:prstGeom>
                    <a:noFill/>
                    <a:ln>
                      <a:noFill/>
                    </a:ln>
                  </pic:spPr>
                </pic:pic>
              </a:graphicData>
            </a:graphic>
          </wp:inline>
        </w:drawing>
      </w:r>
    </w:p>
    <w:p w14:paraId="7D3305AA" w14:textId="77777777" w:rsidR="00911414" w:rsidRPr="00235530" w:rsidRDefault="00911414" w:rsidP="00F22680">
      <w:pPr>
        <w:spacing w:after="0" w:line="240" w:lineRule="auto"/>
        <w:jc w:val="both"/>
        <w:rPr>
          <w:rFonts w:ascii="Times New Roman" w:hAnsi="Times New Roman"/>
          <w:bCs/>
          <w:sz w:val="18"/>
          <w:szCs w:val="18"/>
          <w:lang w:eastAsia="hr-HR"/>
        </w:rPr>
      </w:pPr>
      <w:r w:rsidRPr="00235530">
        <w:rPr>
          <w:rFonts w:ascii="Times New Roman" w:hAnsi="Times New Roman"/>
          <w:b/>
          <w:bCs/>
          <w:sz w:val="18"/>
          <w:szCs w:val="18"/>
          <w:lang w:eastAsia="hr-HR"/>
        </w:rPr>
        <w:t>Izvor:</w:t>
      </w:r>
      <w:r w:rsidRPr="00235530">
        <w:rPr>
          <w:rFonts w:ascii="Times New Roman" w:hAnsi="Times New Roman"/>
          <w:bCs/>
          <w:sz w:val="18"/>
          <w:szCs w:val="18"/>
          <w:lang w:eastAsia="hr-HR"/>
        </w:rPr>
        <w:t xml:space="preserve"> FINA, Državna riznica</w:t>
      </w:r>
    </w:p>
    <w:p w14:paraId="7D3305AB" w14:textId="77777777" w:rsidR="00E42093" w:rsidRDefault="00E42093" w:rsidP="00995044">
      <w:pPr>
        <w:spacing w:after="0" w:line="240" w:lineRule="auto"/>
        <w:jc w:val="both"/>
        <w:rPr>
          <w:rFonts w:ascii="Times New Roman" w:hAnsi="Times New Roman"/>
          <w:b/>
          <w:bCs/>
          <w:lang w:eastAsia="hr-HR"/>
        </w:rPr>
      </w:pPr>
    </w:p>
    <w:p w14:paraId="7D3305AC" w14:textId="77777777" w:rsidR="00530C9A" w:rsidRDefault="00530C9A" w:rsidP="00995044">
      <w:pPr>
        <w:spacing w:after="0" w:line="240" w:lineRule="auto"/>
        <w:jc w:val="both"/>
        <w:rPr>
          <w:rFonts w:ascii="Times New Roman" w:hAnsi="Times New Roman"/>
          <w:b/>
          <w:bCs/>
          <w:lang w:eastAsia="hr-HR"/>
        </w:rPr>
      </w:pPr>
    </w:p>
    <w:p w14:paraId="7D3305AD" w14:textId="77777777" w:rsidR="00530C9A" w:rsidRDefault="00530C9A" w:rsidP="00995044">
      <w:pPr>
        <w:spacing w:after="0" w:line="240" w:lineRule="auto"/>
        <w:jc w:val="both"/>
        <w:rPr>
          <w:rFonts w:ascii="Times New Roman" w:hAnsi="Times New Roman"/>
          <w:b/>
          <w:bCs/>
          <w:lang w:eastAsia="hr-HR"/>
        </w:rPr>
      </w:pPr>
    </w:p>
    <w:p w14:paraId="7D3305AE" w14:textId="77777777" w:rsidR="00530C9A" w:rsidRDefault="00530C9A" w:rsidP="00995044">
      <w:pPr>
        <w:spacing w:after="0" w:line="240" w:lineRule="auto"/>
        <w:jc w:val="both"/>
        <w:rPr>
          <w:rFonts w:ascii="Times New Roman" w:hAnsi="Times New Roman"/>
          <w:b/>
          <w:bCs/>
          <w:lang w:eastAsia="hr-HR"/>
        </w:rPr>
      </w:pPr>
    </w:p>
    <w:p w14:paraId="7D3305AF" w14:textId="77777777" w:rsidR="00530C9A" w:rsidRDefault="00530C9A" w:rsidP="00995044">
      <w:pPr>
        <w:spacing w:after="0" w:line="240" w:lineRule="auto"/>
        <w:jc w:val="both"/>
        <w:rPr>
          <w:rFonts w:ascii="Times New Roman" w:hAnsi="Times New Roman"/>
          <w:b/>
          <w:bCs/>
          <w:lang w:eastAsia="hr-HR"/>
        </w:rPr>
      </w:pPr>
    </w:p>
    <w:p w14:paraId="7D3305B0" w14:textId="77777777" w:rsidR="00530C9A" w:rsidRDefault="00530C9A" w:rsidP="00995044">
      <w:pPr>
        <w:spacing w:after="0" w:line="240" w:lineRule="auto"/>
        <w:jc w:val="both"/>
        <w:rPr>
          <w:rFonts w:ascii="Times New Roman" w:hAnsi="Times New Roman"/>
          <w:b/>
          <w:bCs/>
          <w:lang w:eastAsia="hr-HR"/>
        </w:rPr>
      </w:pPr>
    </w:p>
    <w:p w14:paraId="7D3305B1" w14:textId="77777777" w:rsidR="006409A4" w:rsidRDefault="006409A4" w:rsidP="00995044">
      <w:pPr>
        <w:spacing w:after="0" w:line="240" w:lineRule="auto"/>
        <w:jc w:val="both"/>
        <w:rPr>
          <w:rFonts w:ascii="Times New Roman" w:hAnsi="Times New Roman"/>
          <w:b/>
          <w:bCs/>
          <w:lang w:eastAsia="hr-HR"/>
        </w:rPr>
      </w:pPr>
    </w:p>
    <w:p w14:paraId="7D3305B2" w14:textId="77777777" w:rsidR="006409A4" w:rsidRDefault="006409A4" w:rsidP="00995044">
      <w:pPr>
        <w:spacing w:after="0" w:line="240" w:lineRule="auto"/>
        <w:jc w:val="both"/>
        <w:rPr>
          <w:rFonts w:ascii="Times New Roman" w:hAnsi="Times New Roman"/>
          <w:b/>
          <w:bCs/>
          <w:lang w:eastAsia="hr-HR"/>
        </w:rPr>
      </w:pPr>
    </w:p>
    <w:p w14:paraId="7D3305B3" w14:textId="77777777" w:rsidR="006409A4" w:rsidRDefault="006409A4" w:rsidP="00995044">
      <w:pPr>
        <w:spacing w:after="0" w:line="240" w:lineRule="auto"/>
        <w:jc w:val="both"/>
        <w:rPr>
          <w:rFonts w:ascii="Times New Roman" w:hAnsi="Times New Roman"/>
          <w:b/>
          <w:bCs/>
          <w:lang w:eastAsia="hr-HR"/>
        </w:rPr>
      </w:pPr>
    </w:p>
    <w:p w14:paraId="7D3305B4" w14:textId="77777777" w:rsidR="006409A4" w:rsidRDefault="006409A4" w:rsidP="00995044">
      <w:pPr>
        <w:spacing w:after="0" w:line="240" w:lineRule="auto"/>
        <w:jc w:val="both"/>
        <w:rPr>
          <w:rFonts w:ascii="Times New Roman" w:hAnsi="Times New Roman"/>
          <w:b/>
          <w:bCs/>
          <w:lang w:eastAsia="hr-HR"/>
        </w:rPr>
      </w:pPr>
    </w:p>
    <w:p w14:paraId="7D3305B5" w14:textId="77777777" w:rsidR="006409A4" w:rsidRDefault="006409A4" w:rsidP="00995044">
      <w:pPr>
        <w:spacing w:after="0" w:line="240" w:lineRule="auto"/>
        <w:jc w:val="both"/>
        <w:rPr>
          <w:rFonts w:ascii="Times New Roman" w:hAnsi="Times New Roman"/>
          <w:b/>
          <w:bCs/>
          <w:lang w:eastAsia="hr-HR"/>
        </w:rPr>
      </w:pPr>
    </w:p>
    <w:p w14:paraId="7D3305B6" w14:textId="77777777" w:rsidR="006409A4" w:rsidRDefault="006409A4" w:rsidP="00995044">
      <w:pPr>
        <w:spacing w:after="0" w:line="240" w:lineRule="auto"/>
        <w:jc w:val="both"/>
        <w:rPr>
          <w:rFonts w:ascii="Times New Roman" w:hAnsi="Times New Roman"/>
          <w:b/>
          <w:bCs/>
          <w:lang w:eastAsia="hr-HR"/>
        </w:rPr>
      </w:pPr>
    </w:p>
    <w:p w14:paraId="7D3305B7" w14:textId="77777777" w:rsidR="006409A4" w:rsidRDefault="006409A4" w:rsidP="00995044">
      <w:pPr>
        <w:spacing w:after="0" w:line="240" w:lineRule="auto"/>
        <w:jc w:val="both"/>
        <w:rPr>
          <w:rFonts w:ascii="Times New Roman" w:hAnsi="Times New Roman"/>
          <w:b/>
          <w:bCs/>
          <w:lang w:eastAsia="hr-HR"/>
        </w:rPr>
      </w:pPr>
    </w:p>
    <w:p w14:paraId="7D3305B8" w14:textId="77777777" w:rsidR="006409A4" w:rsidRDefault="006409A4" w:rsidP="00995044">
      <w:pPr>
        <w:spacing w:after="0" w:line="240" w:lineRule="auto"/>
        <w:jc w:val="both"/>
        <w:rPr>
          <w:rFonts w:ascii="Times New Roman" w:hAnsi="Times New Roman"/>
          <w:b/>
          <w:bCs/>
          <w:lang w:eastAsia="hr-HR"/>
        </w:rPr>
      </w:pPr>
    </w:p>
    <w:p w14:paraId="7D3305B9" w14:textId="77777777" w:rsidR="00911414" w:rsidRPr="00871BDA" w:rsidRDefault="00911414" w:rsidP="009F3108">
      <w:pPr>
        <w:pStyle w:val="Heading1"/>
        <w:rPr>
          <w:rStyle w:val="IntenseReference"/>
          <w:rFonts w:ascii="Times New Roman" w:hAnsi="Times New Roman" w:cs="Times New Roman"/>
          <w:b/>
          <w:color w:val="auto"/>
          <w:sz w:val="24"/>
          <w:szCs w:val="24"/>
        </w:rPr>
      </w:pPr>
      <w:bookmarkStart w:id="4" w:name="_Toc526419492"/>
      <w:r w:rsidRPr="00871BDA">
        <w:rPr>
          <w:rStyle w:val="IntenseReference"/>
          <w:rFonts w:ascii="Times New Roman" w:hAnsi="Times New Roman" w:cs="Times New Roman"/>
          <w:b/>
          <w:color w:val="auto"/>
          <w:sz w:val="24"/>
          <w:szCs w:val="24"/>
        </w:rPr>
        <w:t>4. OSTALE AKTIVNOSTI U PODRUČJU KONCESIJA</w:t>
      </w:r>
      <w:bookmarkEnd w:id="4"/>
    </w:p>
    <w:p w14:paraId="7D3305BA" w14:textId="77777777" w:rsidR="00911414" w:rsidRPr="00235530" w:rsidRDefault="00911414" w:rsidP="00995044">
      <w:pPr>
        <w:spacing w:after="0" w:line="240" w:lineRule="auto"/>
        <w:jc w:val="both"/>
        <w:rPr>
          <w:rFonts w:ascii="Times New Roman" w:hAnsi="Times New Roman"/>
          <w:b/>
          <w:bCs/>
          <w:lang w:eastAsia="hr-HR"/>
        </w:rPr>
      </w:pPr>
    </w:p>
    <w:p w14:paraId="7D3305BB" w14:textId="77777777" w:rsidR="00911414" w:rsidRPr="00235530" w:rsidRDefault="00911414" w:rsidP="00995044">
      <w:pPr>
        <w:spacing w:after="0" w:line="240" w:lineRule="auto"/>
        <w:jc w:val="both"/>
        <w:rPr>
          <w:rFonts w:ascii="Times New Roman" w:hAnsi="Times New Roman"/>
          <w:bCs/>
          <w:lang w:eastAsia="hr-HR"/>
        </w:rPr>
      </w:pPr>
      <w:r w:rsidRPr="00235530">
        <w:rPr>
          <w:rFonts w:ascii="Times New Roman" w:hAnsi="Times New Roman"/>
          <w:bCs/>
          <w:lang w:eastAsia="hr-HR"/>
        </w:rPr>
        <w:t xml:space="preserve">Ostale aktivnosti obuhvaćene ovim izvješćem odnose se na podatke o postupcima davanja koncesija, a iste su definirane postupanjima u okviru stručnih povjerenstava, obavijestima o namjeri davanju koncesija, broju novih ugovora sklopljenih u </w:t>
      </w:r>
      <w:r w:rsidR="009E22D3" w:rsidRPr="00235530">
        <w:rPr>
          <w:rFonts w:ascii="Times New Roman" w:hAnsi="Times New Roman"/>
          <w:bCs/>
          <w:lang w:eastAsia="hr-HR"/>
        </w:rPr>
        <w:t>201</w:t>
      </w:r>
      <w:r w:rsidR="00185619">
        <w:rPr>
          <w:rFonts w:ascii="Times New Roman" w:hAnsi="Times New Roman"/>
          <w:bCs/>
          <w:lang w:eastAsia="hr-HR"/>
        </w:rPr>
        <w:t>9</w:t>
      </w:r>
      <w:r w:rsidRPr="00235530">
        <w:rPr>
          <w:rFonts w:ascii="Times New Roman" w:hAnsi="Times New Roman"/>
          <w:bCs/>
          <w:lang w:eastAsia="hr-HR"/>
        </w:rPr>
        <w:t>. godini</w:t>
      </w:r>
      <w:r w:rsidR="005F2490" w:rsidRPr="00235530">
        <w:rPr>
          <w:rFonts w:ascii="Times New Roman" w:hAnsi="Times New Roman"/>
          <w:bCs/>
          <w:lang w:eastAsia="hr-HR"/>
        </w:rPr>
        <w:t xml:space="preserve"> i 201</w:t>
      </w:r>
      <w:r w:rsidR="00185619">
        <w:rPr>
          <w:rFonts w:ascii="Times New Roman" w:hAnsi="Times New Roman"/>
          <w:bCs/>
          <w:lang w:eastAsia="hr-HR"/>
        </w:rPr>
        <w:t>8</w:t>
      </w:r>
      <w:r w:rsidR="005F2490" w:rsidRPr="00235530">
        <w:rPr>
          <w:rFonts w:ascii="Times New Roman" w:hAnsi="Times New Roman"/>
          <w:bCs/>
          <w:lang w:eastAsia="hr-HR"/>
        </w:rPr>
        <w:t>. godini</w:t>
      </w:r>
      <w:r w:rsidRPr="00235530">
        <w:rPr>
          <w:rFonts w:ascii="Times New Roman" w:hAnsi="Times New Roman"/>
          <w:bCs/>
          <w:lang w:eastAsia="hr-HR"/>
        </w:rPr>
        <w:t>, te dodijeljenim koncesijama za zahtjev.</w:t>
      </w:r>
    </w:p>
    <w:p w14:paraId="7D3305BC" w14:textId="77777777" w:rsidR="009646A8" w:rsidRPr="00235530" w:rsidRDefault="009646A8" w:rsidP="00995044">
      <w:pPr>
        <w:spacing w:after="0" w:line="240" w:lineRule="auto"/>
        <w:jc w:val="both"/>
        <w:rPr>
          <w:rFonts w:ascii="Times New Roman" w:hAnsi="Times New Roman"/>
          <w:b/>
          <w:bCs/>
          <w:lang w:eastAsia="hr-HR"/>
        </w:rPr>
      </w:pPr>
    </w:p>
    <w:p w14:paraId="7D3305BD" w14:textId="77777777" w:rsidR="00911414" w:rsidRPr="00235530" w:rsidRDefault="00911414" w:rsidP="00995044">
      <w:pPr>
        <w:spacing w:after="0" w:line="240" w:lineRule="auto"/>
        <w:jc w:val="both"/>
        <w:rPr>
          <w:rFonts w:ascii="Times New Roman" w:hAnsi="Times New Roman"/>
          <w:b/>
          <w:bCs/>
          <w:iCs/>
          <w:lang w:eastAsia="hr-HR"/>
        </w:rPr>
      </w:pPr>
      <w:r w:rsidRPr="008B58DE">
        <w:rPr>
          <w:rFonts w:ascii="Times New Roman" w:hAnsi="Times New Roman"/>
          <w:b/>
          <w:bCs/>
          <w:iCs/>
          <w:lang w:eastAsia="hr-HR"/>
        </w:rPr>
        <w:t>4.1. Osnivanje stručnih povjerenstava</w:t>
      </w:r>
    </w:p>
    <w:p w14:paraId="7D3305BE" w14:textId="77777777" w:rsidR="00911414" w:rsidRPr="00235530" w:rsidRDefault="00911414" w:rsidP="00995044">
      <w:pPr>
        <w:spacing w:after="0" w:line="240" w:lineRule="auto"/>
        <w:jc w:val="both"/>
        <w:rPr>
          <w:rFonts w:ascii="Times New Roman" w:hAnsi="Times New Roman"/>
          <w:bCs/>
          <w:lang w:eastAsia="hr-HR"/>
        </w:rPr>
      </w:pPr>
    </w:p>
    <w:p w14:paraId="7D3305BF" w14:textId="77777777" w:rsidR="00911414" w:rsidRPr="00235530" w:rsidRDefault="00911414" w:rsidP="00995044">
      <w:pPr>
        <w:spacing w:after="0" w:line="240" w:lineRule="auto"/>
        <w:jc w:val="both"/>
        <w:rPr>
          <w:rFonts w:ascii="Times New Roman" w:hAnsi="Times New Roman"/>
          <w:bCs/>
          <w:lang w:eastAsia="hr-HR"/>
        </w:rPr>
      </w:pPr>
      <w:r w:rsidRPr="00235530">
        <w:rPr>
          <w:rFonts w:ascii="Times New Roman" w:hAnsi="Times New Roman"/>
          <w:bCs/>
          <w:lang w:eastAsia="hr-HR"/>
        </w:rPr>
        <w:t>Sukladno odredbama Zakona o koncesija</w:t>
      </w:r>
      <w:r w:rsidR="00476966">
        <w:rPr>
          <w:rFonts w:ascii="Times New Roman" w:hAnsi="Times New Roman"/>
          <w:bCs/>
          <w:lang w:eastAsia="hr-HR"/>
        </w:rPr>
        <w:t>ma</w:t>
      </w:r>
      <w:r w:rsidRPr="00235530">
        <w:rPr>
          <w:rFonts w:ascii="Times New Roman" w:hAnsi="Times New Roman"/>
          <w:bCs/>
          <w:lang w:eastAsia="hr-HR"/>
        </w:rPr>
        <w:t xml:space="preserve"> davatelj koncesije dužan je prije postupka davanja koncesije imenovati stručno povjerenstvo te o tome obavijestiti Ministarstvo financija. </w:t>
      </w:r>
      <w:r w:rsidRPr="005B6EFF">
        <w:rPr>
          <w:rFonts w:ascii="Times New Roman" w:hAnsi="Times New Roman"/>
          <w:bCs/>
          <w:lang w:eastAsia="hr-HR"/>
        </w:rPr>
        <w:t xml:space="preserve">Prema podacima Ministarstva financija, najveći broj Obavijesti o namjeri osnivanja stručnih povjerenstava odnosi se na davanje koncesija za obavljanje komunalnih djelatnosti, davanje koncesija na pomorskom dobru, te za obavljanje </w:t>
      </w:r>
      <w:r w:rsidR="000027C1" w:rsidRPr="005B6EFF">
        <w:rPr>
          <w:rFonts w:ascii="Times New Roman" w:hAnsi="Times New Roman"/>
          <w:bCs/>
          <w:lang w:eastAsia="hr-HR"/>
        </w:rPr>
        <w:t>djelatnosti u lučkim upravama</w:t>
      </w:r>
      <w:r w:rsidRPr="005B6EFF">
        <w:rPr>
          <w:rFonts w:ascii="Times New Roman" w:hAnsi="Times New Roman"/>
          <w:bCs/>
          <w:lang w:eastAsia="hr-HR"/>
        </w:rPr>
        <w:t>.</w:t>
      </w:r>
      <w:r w:rsidRPr="00235530">
        <w:rPr>
          <w:rFonts w:ascii="Times New Roman" w:hAnsi="Times New Roman"/>
          <w:bCs/>
          <w:lang w:eastAsia="hr-HR"/>
        </w:rPr>
        <w:t xml:space="preserve"> Davatelj koncesije može osnovati jedno stručno povjerenstvo za veći broj koncesija koje planira dati, ali koncesije moraju biti iz istog područja odnosno djelatnosti što je čest slučaj u području davanja koncesija za obavljanje javne zdravstvene usluge.</w:t>
      </w:r>
    </w:p>
    <w:p w14:paraId="7D3305C0" w14:textId="77777777" w:rsidR="00911414" w:rsidRPr="00235530" w:rsidRDefault="00911414" w:rsidP="00995044">
      <w:pPr>
        <w:spacing w:after="0" w:line="240" w:lineRule="auto"/>
        <w:jc w:val="both"/>
        <w:rPr>
          <w:rFonts w:ascii="Times New Roman" w:hAnsi="Times New Roman"/>
          <w:bCs/>
          <w:lang w:eastAsia="hr-HR"/>
        </w:rPr>
      </w:pPr>
    </w:p>
    <w:p w14:paraId="7D3305C1" w14:textId="77777777" w:rsidR="00911414" w:rsidRPr="005B6EFF" w:rsidRDefault="00911414" w:rsidP="00995044">
      <w:pPr>
        <w:spacing w:after="0" w:line="240" w:lineRule="auto"/>
        <w:jc w:val="both"/>
        <w:rPr>
          <w:rFonts w:ascii="Times New Roman" w:hAnsi="Times New Roman"/>
          <w:bCs/>
          <w:sz w:val="20"/>
          <w:szCs w:val="20"/>
          <w:lang w:eastAsia="hr-HR"/>
        </w:rPr>
      </w:pPr>
      <w:r w:rsidRPr="005B6EFF">
        <w:rPr>
          <w:rFonts w:ascii="Times New Roman" w:hAnsi="Times New Roman"/>
          <w:b/>
          <w:bCs/>
          <w:sz w:val="20"/>
          <w:szCs w:val="20"/>
          <w:lang w:eastAsia="hr-HR"/>
        </w:rPr>
        <w:t xml:space="preserve">Tablica </w:t>
      </w:r>
      <w:r w:rsidR="00B26A1F" w:rsidRPr="005B6EFF">
        <w:rPr>
          <w:rFonts w:ascii="Times New Roman" w:hAnsi="Times New Roman"/>
          <w:b/>
          <w:bCs/>
          <w:sz w:val="20"/>
          <w:szCs w:val="20"/>
          <w:lang w:eastAsia="hr-HR"/>
        </w:rPr>
        <w:t>6</w:t>
      </w:r>
      <w:r w:rsidRPr="005B6EFF">
        <w:rPr>
          <w:rFonts w:ascii="Times New Roman" w:hAnsi="Times New Roman"/>
          <w:b/>
          <w:bCs/>
          <w:sz w:val="20"/>
          <w:szCs w:val="20"/>
          <w:lang w:eastAsia="hr-HR"/>
        </w:rPr>
        <w:t>:</w:t>
      </w:r>
      <w:r w:rsidRPr="005B6EFF">
        <w:rPr>
          <w:rFonts w:ascii="Times New Roman" w:hAnsi="Times New Roman"/>
          <w:bCs/>
          <w:sz w:val="20"/>
          <w:szCs w:val="20"/>
          <w:lang w:eastAsia="hr-HR"/>
        </w:rPr>
        <w:t xml:space="preserve"> Broj Obavijesti o namjeri osnivanja stručnih povjerenstava</w:t>
      </w:r>
    </w:p>
    <w:p w14:paraId="7D3305C2" w14:textId="77777777" w:rsidR="00911414" w:rsidRPr="00235530" w:rsidRDefault="005B6EFF" w:rsidP="00995044">
      <w:pPr>
        <w:spacing w:after="0" w:line="240" w:lineRule="auto"/>
        <w:jc w:val="both"/>
        <w:rPr>
          <w:rFonts w:ascii="Times New Roman" w:hAnsi="Times New Roman"/>
          <w:b/>
          <w:bCs/>
          <w:i/>
          <w:iCs/>
          <w:lang w:eastAsia="hr-HR"/>
        </w:rPr>
      </w:pPr>
      <w:r w:rsidRPr="005B6EFF">
        <w:rPr>
          <w:noProof/>
          <w:lang w:eastAsia="hr-HR"/>
        </w:rPr>
        <w:drawing>
          <wp:inline distT="0" distB="0" distL="0" distR="0" wp14:anchorId="7D3306E2" wp14:editId="7D3306E3">
            <wp:extent cx="4478655" cy="2131060"/>
            <wp:effectExtent l="0" t="0" r="0" b="254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8655" cy="2131060"/>
                    </a:xfrm>
                    <a:prstGeom prst="rect">
                      <a:avLst/>
                    </a:prstGeom>
                    <a:noFill/>
                    <a:ln>
                      <a:noFill/>
                    </a:ln>
                  </pic:spPr>
                </pic:pic>
              </a:graphicData>
            </a:graphic>
          </wp:inline>
        </w:drawing>
      </w:r>
    </w:p>
    <w:p w14:paraId="7D3305C3" w14:textId="77777777" w:rsidR="00911414" w:rsidRPr="00235530" w:rsidRDefault="00911414" w:rsidP="00995044">
      <w:pPr>
        <w:spacing w:after="0" w:line="240" w:lineRule="auto"/>
        <w:jc w:val="both"/>
        <w:rPr>
          <w:rFonts w:ascii="Times New Roman" w:hAnsi="Times New Roman"/>
          <w:bCs/>
          <w:iCs/>
          <w:sz w:val="18"/>
          <w:szCs w:val="18"/>
          <w:lang w:eastAsia="hr-HR"/>
        </w:rPr>
      </w:pPr>
      <w:r w:rsidRPr="00235530">
        <w:rPr>
          <w:rFonts w:ascii="Times New Roman" w:hAnsi="Times New Roman"/>
          <w:b/>
          <w:bCs/>
          <w:iCs/>
          <w:sz w:val="18"/>
          <w:szCs w:val="18"/>
          <w:lang w:eastAsia="hr-HR"/>
        </w:rPr>
        <w:t>Izvor:</w:t>
      </w:r>
      <w:r w:rsidRPr="00235530">
        <w:rPr>
          <w:rFonts w:ascii="Times New Roman" w:hAnsi="Times New Roman"/>
          <w:bCs/>
          <w:iCs/>
          <w:sz w:val="18"/>
          <w:szCs w:val="18"/>
          <w:lang w:eastAsia="hr-HR"/>
        </w:rPr>
        <w:t xml:space="preserve"> Ministarstvo financija: Registar koncesija</w:t>
      </w:r>
    </w:p>
    <w:p w14:paraId="7D3305C4" w14:textId="77777777" w:rsidR="00711887" w:rsidRPr="00235530" w:rsidRDefault="00711887" w:rsidP="00995044">
      <w:pPr>
        <w:spacing w:after="0" w:line="240" w:lineRule="auto"/>
        <w:jc w:val="both"/>
        <w:rPr>
          <w:rFonts w:ascii="Times New Roman" w:hAnsi="Times New Roman"/>
          <w:b/>
          <w:iCs/>
          <w:lang w:eastAsia="hr-HR"/>
        </w:rPr>
      </w:pPr>
    </w:p>
    <w:p w14:paraId="7D3305C5" w14:textId="77777777" w:rsidR="00911414" w:rsidRPr="00235530" w:rsidRDefault="00911414" w:rsidP="00995044">
      <w:pPr>
        <w:spacing w:after="0" w:line="240" w:lineRule="auto"/>
        <w:jc w:val="both"/>
        <w:rPr>
          <w:rFonts w:ascii="Times New Roman" w:hAnsi="Times New Roman"/>
          <w:bCs/>
          <w:i/>
          <w:iCs/>
          <w:lang w:eastAsia="hr-HR"/>
        </w:rPr>
      </w:pPr>
      <w:r w:rsidRPr="00E92E26">
        <w:rPr>
          <w:rFonts w:ascii="Times New Roman" w:hAnsi="Times New Roman"/>
          <w:b/>
          <w:iCs/>
          <w:lang w:eastAsia="hr-HR"/>
        </w:rPr>
        <w:t>4.2. Obavijesti o namjeri davanja koncesija</w:t>
      </w:r>
    </w:p>
    <w:p w14:paraId="7D3305C6" w14:textId="77777777" w:rsidR="00911414" w:rsidRPr="00235530" w:rsidRDefault="00911414" w:rsidP="00995044">
      <w:pPr>
        <w:spacing w:after="0" w:line="240" w:lineRule="auto"/>
        <w:jc w:val="both"/>
        <w:rPr>
          <w:rFonts w:ascii="Times New Roman" w:hAnsi="Times New Roman"/>
          <w:bCs/>
          <w:lang w:eastAsia="hr-HR"/>
        </w:rPr>
      </w:pPr>
    </w:p>
    <w:p w14:paraId="7D3305C7" w14:textId="77777777" w:rsidR="00911414" w:rsidRPr="00235530" w:rsidRDefault="00911414" w:rsidP="00A031F9">
      <w:pPr>
        <w:spacing w:after="0" w:line="240" w:lineRule="auto"/>
        <w:jc w:val="both"/>
        <w:rPr>
          <w:rFonts w:ascii="Times New Roman" w:hAnsi="Times New Roman"/>
          <w:bCs/>
          <w:lang w:eastAsia="hr-HR"/>
        </w:rPr>
      </w:pPr>
      <w:r w:rsidRPr="00235530">
        <w:rPr>
          <w:rFonts w:ascii="Times New Roman" w:hAnsi="Times New Roman"/>
          <w:bCs/>
          <w:lang w:eastAsia="hr-HR"/>
        </w:rPr>
        <w:t xml:space="preserve">Postupak davanja koncesije započinje objavom Obavijesti o namjeri davanja koncesije u Narodnim novinama, a nakon čega ista može biti objavljena i u ostalim sredstvima javnog priopćavanja i na </w:t>
      </w:r>
      <w:r w:rsidR="00CB1607" w:rsidRPr="00235530">
        <w:rPr>
          <w:rFonts w:ascii="Times New Roman" w:hAnsi="Times New Roman"/>
          <w:bCs/>
          <w:lang w:eastAsia="hr-HR"/>
        </w:rPr>
        <w:t xml:space="preserve">internet </w:t>
      </w:r>
      <w:r w:rsidRPr="00235530">
        <w:rPr>
          <w:rFonts w:ascii="Times New Roman" w:hAnsi="Times New Roman"/>
          <w:bCs/>
          <w:lang w:eastAsia="hr-HR"/>
        </w:rPr>
        <w:t>stranici davatelja koncesije.</w:t>
      </w:r>
    </w:p>
    <w:p w14:paraId="7D3305C8" w14:textId="77777777" w:rsidR="00911414" w:rsidRPr="00235530" w:rsidRDefault="00911414" w:rsidP="00A031F9">
      <w:pPr>
        <w:spacing w:after="0" w:line="240" w:lineRule="auto"/>
        <w:jc w:val="both"/>
        <w:rPr>
          <w:rFonts w:ascii="Times New Roman" w:hAnsi="Times New Roman"/>
        </w:rPr>
      </w:pPr>
    </w:p>
    <w:p w14:paraId="7D3305C9" w14:textId="77777777" w:rsidR="00911414" w:rsidRPr="00235530" w:rsidRDefault="00911414" w:rsidP="00A031F9">
      <w:pPr>
        <w:spacing w:after="0" w:line="240" w:lineRule="auto"/>
        <w:jc w:val="both"/>
        <w:rPr>
          <w:rFonts w:ascii="Times New Roman" w:hAnsi="Times New Roman"/>
        </w:rPr>
      </w:pPr>
      <w:r w:rsidRPr="00235530">
        <w:rPr>
          <w:rFonts w:ascii="Times New Roman" w:hAnsi="Times New Roman"/>
        </w:rPr>
        <w:t>Davateljima koncesija omogućeno je elektroničko slanje obrazaca na objavu svaki radni dan te ispravci istih u propisanim rokovima. Primjenom standardiziranih obrazaca i Elektroni</w:t>
      </w:r>
      <w:r w:rsidRPr="00235530">
        <w:rPr>
          <w:rFonts w:ascii="Times New Roman" w:hAnsi="Times New Roman"/>
        </w:rPr>
        <w:lastRenderedPageBreak/>
        <w:t xml:space="preserve">čkog oglasnika javne nabave ubrzalo je i pojednostavilo postupke davanja koncesija, omogućilo neposredan uvid nad objavama od strane Ministarstva financija, te su stvoreni uvjeti za statističku obradu podataka, ali i smanjeni ukupni troškovi provođenja postupka davateljima koncesija. </w:t>
      </w:r>
    </w:p>
    <w:p w14:paraId="7D3305CA" w14:textId="77777777" w:rsidR="00911414" w:rsidRPr="00235530" w:rsidRDefault="00911414" w:rsidP="00995044">
      <w:pPr>
        <w:spacing w:after="0" w:line="240" w:lineRule="auto"/>
        <w:jc w:val="both"/>
        <w:rPr>
          <w:rFonts w:ascii="Times New Roman" w:hAnsi="Times New Roman"/>
          <w:bCs/>
          <w:lang w:eastAsia="hr-HR"/>
        </w:rPr>
      </w:pPr>
    </w:p>
    <w:p w14:paraId="7D3305CB" w14:textId="77777777" w:rsidR="00911414" w:rsidRPr="00235530" w:rsidRDefault="00911414" w:rsidP="00C2114B">
      <w:pPr>
        <w:spacing w:after="0" w:line="240" w:lineRule="auto"/>
        <w:jc w:val="both"/>
        <w:rPr>
          <w:rFonts w:ascii="Times New Roman" w:hAnsi="Times New Roman"/>
          <w:bCs/>
          <w:lang w:eastAsia="hr-HR"/>
        </w:rPr>
      </w:pPr>
      <w:r w:rsidRPr="00235530">
        <w:rPr>
          <w:rFonts w:ascii="Times New Roman" w:hAnsi="Times New Roman"/>
          <w:lang w:eastAsia="hr-HR"/>
        </w:rPr>
        <w:t xml:space="preserve">Kako postupak dodjele koncesija započinje danom objave Obavijesti o namjeri davanja koncesije u Narodnim novinama, zakonom je propisano što ista mora sadržavati. Danom objave obavijesti o namjeri davanja koncesije počinje teći rok za dostavu ponuda koji iznosi najmanje 30 dana. </w:t>
      </w:r>
      <w:r w:rsidRPr="00235530">
        <w:rPr>
          <w:rFonts w:ascii="Times New Roman" w:hAnsi="Times New Roman"/>
          <w:bCs/>
          <w:lang w:eastAsia="hr-HR"/>
        </w:rPr>
        <w:t xml:space="preserve">Tablica </w:t>
      </w:r>
      <w:r w:rsidR="00AB20D1" w:rsidRPr="00235530">
        <w:rPr>
          <w:rFonts w:ascii="Times New Roman" w:hAnsi="Times New Roman"/>
          <w:bCs/>
          <w:lang w:eastAsia="hr-HR"/>
        </w:rPr>
        <w:t>7</w:t>
      </w:r>
      <w:r w:rsidRPr="00235530">
        <w:rPr>
          <w:rFonts w:ascii="Times New Roman" w:hAnsi="Times New Roman"/>
          <w:bCs/>
          <w:lang w:eastAsia="hr-HR"/>
        </w:rPr>
        <w:t xml:space="preserve">. prikazuje broj objavljenih Obavijesti o namjeri davanja koncesija, razrađeno prema predmetu koncesije. </w:t>
      </w:r>
    </w:p>
    <w:p w14:paraId="7D3305CC" w14:textId="77777777" w:rsidR="009646A8" w:rsidRDefault="009646A8" w:rsidP="00995044">
      <w:pPr>
        <w:spacing w:after="0" w:line="240" w:lineRule="auto"/>
        <w:jc w:val="both"/>
        <w:rPr>
          <w:rFonts w:ascii="Times New Roman" w:hAnsi="Times New Roman"/>
          <w:bCs/>
          <w:lang w:eastAsia="hr-HR"/>
        </w:rPr>
      </w:pPr>
    </w:p>
    <w:p w14:paraId="7D3305CD" w14:textId="77777777" w:rsidR="000C750D" w:rsidRDefault="000C750D" w:rsidP="00995044">
      <w:pPr>
        <w:spacing w:after="0" w:line="240" w:lineRule="auto"/>
        <w:jc w:val="both"/>
        <w:rPr>
          <w:rFonts w:ascii="Times New Roman" w:hAnsi="Times New Roman"/>
          <w:bCs/>
          <w:lang w:eastAsia="hr-HR"/>
        </w:rPr>
      </w:pPr>
    </w:p>
    <w:p w14:paraId="7D3305CE" w14:textId="77777777" w:rsidR="000C750D" w:rsidRDefault="000C750D" w:rsidP="00995044">
      <w:pPr>
        <w:spacing w:after="0" w:line="240" w:lineRule="auto"/>
        <w:jc w:val="both"/>
        <w:rPr>
          <w:rFonts w:ascii="Times New Roman" w:hAnsi="Times New Roman"/>
          <w:bCs/>
          <w:lang w:eastAsia="hr-HR"/>
        </w:rPr>
      </w:pPr>
    </w:p>
    <w:p w14:paraId="7D3305CF" w14:textId="77777777" w:rsidR="002E33D4" w:rsidRDefault="002E33D4" w:rsidP="00995044">
      <w:pPr>
        <w:spacing w:after="0" w:line="240" w:lineRule="auto"/>
        <w:jc w:val="both"/>
        <w:rPr>
          <w:rFonts w:ascii="Times New Roman" w:hAnsi="Times New Roman"/>
          <w:bCs/>
          <w:lang w:eastAsia="hr-HR"/>
        </w:rPr>
      </w:pPr>
    </w:p>
    <w:p w14:paraId="7D3305D0" w14:textId="77777777" w:rsidR="00A36E79" w:rsidRDefault="00911414" w:rsidP="00995044">
      <w:pPr>
        <w:spacing w:after="0" w:line="240" w:lineRule="auto"/>
        <w:jc w:val="both"/>
        <w:rPr>
          <w:rFonts w:ascii="Times New Roman" w:hAnsi="Times New Roman"/>
          <w:bCs/>
          <w:sz w:val="20"/>
          <w:szCs w:val="20"/>
          <w:lang w:eastAsia="hr-HR"/>
        </w:rPr>
      </w:pPr>
      <w:r w:rsidRPr="00235530">
        <w:rPr>
          <w:rFonts w:ascii="Times New Roman" w:hAnsi="Times New Roman"/>
          <w:b/>
          <w:bCs/>
          <w:sz w:val="20"/>
          <w:szCs w:val="20"/>
          <w:lang w:eastAsia="hr-HR"/>
        </w:rPr>
        <w:t xml:space="preserve">Tablica </w:t>
      </w:r>
      <w:r w:rsidR="00B26A1F" w:rsidRPr="00235530">
        <w:rPr>
          <w:rFonts w:ascii="Times New Roman" w:hAnsi="Times New Roman"/>
          <w:b/>
          <w:bCs/>
          <w:sz w:val="20"/>
          <w:szCs w:val="20"/>
          <w:lang w:eastAsia="hr-HR"/>
        </w:rPr>
        <w:t>7</w:t>
      </w:r>
      <w:r w:rsidRPr="00235530">
        <w:rPr>
          <w:rFonts w:ascii="Times New Roman" w:hAnsi="Times New Roman"/>
          <w:bCs/>
          <w:sz w:val="20"/>
          <w:szCs w:val="20"/>
          <w:lang w:eastAsia="hr-HR"/>
        </w:rPr>
        <w:t xml:space="preserve">: Broj </w:t>
      </w:r>
      <w:r w:rsidR="00156B9D" w:rsidRPr="00235530">
        <w:rPr>
          <w:rFonts w:ascii="Times New Roman" w:hAnsi="Times New Roman"/>
          <w:bCs/>
          <w:sz w:val="20"/>
          <w:szCs w:val="20"/>
          <w:lang w:eastAsia="hr-HR"/>
        </w:rPr>
        <w:t xml:space="preserve">postupaka davanja koncesija </w:t>
      </w:r>
      <w:r w:rsidRPr="00235530">
        <w:rPr>
          <w:rFonts w:ascii="Times New Roman" w:hAnsi="Times New Roman"/>
          <w:bCs/>
          <w:sz w:val="20"/>
          <w:szCs w:val="20"/>
          <w:lang w:eastAsia="hr-HR"/>
        </w:rPr>
        <w:t xml:space="preserve">prema </w:t>
      </w:r>
      <w:r w:rsidR="00156B9D" w:rsidRPr="00235530">
        <w:rPr>
          <w:rFonts w:ascii="Times New Roman" w:hAnsi="Times New Roman"/>
          <w:bCs/>
          <w:sz w:val="20"/>
          <w:szCs w:val="20"/>
          <w:lang w:eastAsia="hr-HR"/>
        </w:rPr>
        <w:t>o</w:t>
      </w:r>
      <w:r w:rsidRPr="00235530">
        <w:rPr>
          <w:rFonts w:ascii="Times New Roman" w:hAnsi="Times New Roman"/>
          <w:bCs/>
          <w:sz w:val="20"/>
          <w:szCs w:val="20"/>
          <w:lang w:eastAsia="hr-HR"/>
        </w:rPr>
        <w:t xml:space="preserve">bavijestima o namjeri davanja koncesija </w:t>
      </w:r>
    </w:p>
    <w:p w14:paraId="7D3305D1" w14:textId="77777777" w:rsidR="00911414" w:rsidRPr="00235530" w:rsidRDefault="00911414" w:rsidP="00995044">
      <w:pPr>
        <w:spacing w:after="0" w:line="240" w:lineRule="auto"/>
        <w:jc w:val="both"/>
        <w:rPr>
          <w:rFonts w:ascii="Times New Roman" w:hAnsi="Times New Roman"/>
          <w:bCs/>
          <w:sz w:val="20"/>
          <w:szCs w:val="20"/>
          <w:lang w:eastAsia="hr-HR"/>
        </w:rPr>
      </w:pPr>
      <w:r w:rsidRPr="00235530">
        <w:rPr>
          <w:rFonts w:ascii="Times New Roman" w:hAnsi="Times New Roman"/>
          <w:bCs/>
          <w:sz w:val="20"/>
          <w:szCs w:val="20"/>
          <w:lang w:eastAsia="hr-HR"/>
        </w:rPr>
        <w:t>objavljenima u</w:t>
      </w:r>
      <w:r w:rsidR="00CB1607" w:rsidRPr="00235530">
        <w:rPr>
          <w:rFonts w:ascii="Times New Roman" w:hAnsi="Times New Roman"/>
          <w:bCs/>
          <w:sz w:val="20"/>
          <w:szCs w:val="20"/>
          <w:lang w:eastAsia="hr-HR"/>
        </w:rPr>
        <w:t xml:space="preserve"> </w:t>
      </w:r>
      <w:r w:rsidRPr="00235530">
        <w:rPr>
          <w:rFonts w:ascii="Times New Roman" w:hAnsi="Times New Roman"/>
          <w:bCs/>
          <w:sz w:val="20"/>
          <w:szCs w:val="20"/>
          <w:lang w:eastAsia="hr-HR"/>
        </w:rPr>
        <w:t>Narodnim novinama</w:t>
      </w:r>
      <w:r w:rsidR="00156B9D" w:rsidRPr="00235530">
        <w:rPr>
          <w:rFonts w:ascii="Times New Roman" w:hAnsi="Times New Roman"/>
          <w:bCs/>
          <w:sz w:val="20"/>
          <w:szCs w:val="20"/>
          <w:lang w:eastAsia="hr-HR"/>
        </w:rPr>
        <w:t xml:space="preserve"> – Elektronički oglasnik javne nabave (EOJN</w:t>
      </w:r>
      <w:r w:rsidRPr="00235530">
        <w:rPr>
          <w:rFonts w:ascii="Times New Roman" w:hAnsi="Times New Roman"/>
          <w:bCs/>
          <w:sz w:val="20"/>
          <w:szCs w:val="20"/>
          <w:lang w:eastAsia="hr-HR"/>
        </w:rPr>
        <w:t>)</w:t>
      </w:r>
    </w:p>
    <w:p w14:paraId="7D3305D2" w14:textId="77777777" w:rsidR="00911414" w:rsidRPr="00235530" w:rsidRDefault="00F57A23" w:rsidP="00995044">
      <w:pPr>
        <w:spacing w:after="0" w:line="240" w:lineRule="auto"/>
        <w:jc w:val="both"/>
        <w:rPr>
          <w:rFonts w:ascii="Times New Roman" w:hAnsi="Times New Roman"/>
          <w:b/>
          <w:i/>
          <w:iCs/>
          <w:lang w:eastAsia="hr-HR"/>
        </w:rPr>
      </w:pPr>
      <w:r w:rsidRPr="00F57A23">
        <w:rPr>
          <w:noProof/>
          <w:lang w:eastAsia="hr-HR"/>
        </w:rPr>
        <w:drawing>
          <wp:inline distT="0" distB="0" distL="0" distR="0" wp14:anchorId="7D3306E4" wp14:editId="7D3306E5">
            <wp:extent cx="4982210" cy="1410970"/>
            <wp:effectExtent l="0" t="0" r="889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2210" cy="1410970"/>
                    </a:xfrm>
                    <a:prstGeom prst="rect">
                      <a:avLst/>
                    </a:prstGeom>
                    <a:noFill/>
                    <a:ln>
                      <a:noFill/>
                    </a:ln>
                  </pic:spPr>
                </pic:pic>
              </a:graphicData>
            </a:graphic>
          </wp:inline>
        </w:drawing>
      </w:r>
    </w:p>
    <w:p w14:paraId="7D3305D3" w14:textId="77777777" w:rsidR="00911414" w:rsidRPr="00235530" w:rsidRDefault="00911414" w:rsidP="00995044">
      <w:pPr>
        <w:spacing w:after="0" w:line="240" w:lineRule="auto"/>
        <w:jc w:val="both"/>
        <w:rPr>
          <w:rFonts w:ascii="Times New Roman" w:hAnsi="Times New Roman"/>
          <w:bCs/>
          <w:iCs/>
          <w:sz w:val="18"/>
          <w:szCs w:val="18"/>
          <w:lang w:eastAsia="hr-HR"/>
        </w:rPr>
      </w:pPr>
      <w:r w:rsidRPr="00235530">
        <w:rPr>
          <w:rFonts w:ascii="Times New Roman" w:hAnsi="Times New Roman"/>
          <w:b/>
          <w:iCs/>
          <w:sz w:val="18"/>
          <w:szCs w:val="18"/>
          <w:lang w:eastAsia="hr-HR"/>
        </w:rPr>
        <w:t>Izvor:</w:t>
      </w:r>
      <w:r w:rsidR="00AF1895" w:rsidRPr="00235530">
        <w:rPr>
          <w:rFonts w:ascii="Times New Roman" w:hAnsi="Times New Roman"/>
          <w:bCs/>
          <w:iCs/>
          <w:sz w:val="18"/>
          <w:szCs w:val="18"/>
          <w:lang w:eastAsia="hr-HR"/>
        </w:rPr>
        <w:t xml:space="preserve"> Ministarstvo financija, Narodne novine</w:t>
      </w:r>
    </w:p>
    <w:p w14:paraId="7D3305D4" w14:textId="77777777" w:rsidR="00536104" w:rsidRPr="00235530" w:rsidRDefault="00536104" w:rsidP="00995044">
      <w:pPr>
        <w:spacing w:after="0" w:line="240" w:lineRule="auto"/>
        <w:jc w:val="both"/>
        <w:rPr>
          <w:rFonts w:ascii="Times New Roman" w:hAnsi="Times New Roman"/>
          <w:bCs/>
          <w:i/>
          <w:iCs/>
          <w:lang w:eastAsia="hr-HR"/>
        </w:rPr>
      </w:pPr>
    </w:p>
    <w:p w14:paraId="7D3305D5" w14:textId="77777777" w:rsidR="00911414" w:rsidRPr="00235530" w:rsidRDefault="00911414" w:rsidP="00995044">
      <w:pPr>
        <w:spacing w:after="0" w:line="240" w:lineRule="auto"/>
        <w:jc w:val="both"/>
        <w:rPr>
          <w:rFonts w:ascii="Times New Roman" w:hAnsi="Times New Roman"/>
          <w:b/>
          <w:iCs/>
          <w:lang w:eastAsia="hr-HR"/>
        </w:rPr>
      </w:pPr>
      <w:r w:rsidRPr="004E1C7E">
        <w:rPr>
          <w:rFonts w:ascii="Times New Roman" w:hAnsi="Times New Roman"/>
          <w:b/>
          <w:iCs/>
          <w:lang w:eastAsia="hr-HR"/>
        </w:rPr>
        <w:t xml:space="preserve">4.3. Broj sklopljenih ugovora </w:t>
      </w:r>
      <w:r w:rsidR="0041784C" w:rsidRPr="004E1C7E">
        <w:rPr>
          <w:rFonts w:ascii="Times New Roman" w:hAnsi="Times New Roman"/>
          <w:b/>
          <w:iCs/>
          <w:lang w:eastAsia="hr-HR"/>
        </w:rPr>
        <w:t>i Plan davanja koncesija za 201</w:t>
      </w:r>
      <w:r w:rsidR="005B6EFF">
        <w:rPr>
          <w:rFonts w:ascii="Times New Roman" w:hAnsi="Times New Roman"/>
          <w:b/>
          <w:iCs/>
          <w:lang w:eastAsia="hr-HR"/>
        </w:rPr>
        <w:t>9</w:t>
      </w:r>
      <w:r w:rsidR="0041784C" w:rsidRPr="004E1C7E">
        <w:rPr>
          <w:rFonts w:ascii="Times New Roman" w:hAnsi="Times New Roman"/>
          <w:b/>
          <w:iCs/>
          <w:lang w:eastAsia="hr-HR"/>
        </w:rPr>
        <w:t>. godinu</w:t>
      </w:r>
    </w:p>
    <w:p w14:paraId="7D3305D6" w14:textId="77777777" w:rsidR="00911414" w:rsidRPr="00235530" w:rsidRDefault="00911414" w:rsidP="00995044">
      <w:pPr>
        <w:spacing w:after="0" w:line="240" w:lineRule="auto"/>
        <w:jc w:val="both"/>
        <w:rPr>
          <w:rFonts w:ascii="Times New Roman" w:hAnsi="Times New Roman"/>
          <w:bCs/>
          <w:lang w:eastAsia="hr-HR"/>
        </w:rPr>
      </w:pPr>
    </w:p>
    <w:p w14:paraId="7D3305D7" w14:textId="77777777" w:rsidR="00911414" w:rsidRPr="00740137" w:rsidRDefault="00911414" w:rsidP="00995044">
      <w:pPr>
        <w:spacing w:after="0" w:line="240" w:lineRule="auto"/>
        <w:jc w:val="both"/>
        <w:rPr>
          <w:rFonts w:ascii="Times New Roman" w:hAnsi="Times New Roman"/>
          <w:bCs/>
          <w:lang w:eastAsia="hr-HR"/>
        </w:rPr>
      </w:pPr>
      <w:r w:rsidRPr="00740137">
        <w:rPr>
          <w:rFonts w:ascii="Times New Roman" w:hAnsi="Times New Roman"/>
          <w:bCs/>
          <w:lang w:eastAsia="hr-HR"/>
        </w:rPr>
        <w:t xml:space="preserve">Tijekom </w:t>
      </w:r>
      <w:r w:rsidR="00C2114B" w:rsidRPr="00740137">
        <w:rPr>
          <w:rFonts w:ascii="Times New Roman" w:hAnsi="Times New Roman"/>
          <w:bCs/>
          <w:lang w:eastAsia="hr-HR"/>
        </w:rPr>
        <w:t>201</w:t>
      </w:r>
      <w:r w:rsidR="00740137">
        <w:rPr>
          <w:rFonts w:ascii="Times New Roman" w:hAnsi="Times New Roman"/>
          <w:bCs/>
          <w:lang w:eastAsia="hr-HR"/>
        </w:rPr>
        <w:t>9</w:t>
      </w:r>
      <w:r w:rsidRPr="00740137">
        <w:rPr>
          <w:rFonts w:ascii="Times New Roman" w:hAnsi="Times New Roman"/>
          <w:bCs/>
          <w:lang w:eastAsia="hr-HR"/>
        </w:rPr>
        <w:t xml:space="preserve">. godine sklopljeno je ukupno </w:t>
      </w:r>
      <w:r w:rsidR="009E7EA2">
        <w:rPr>
          <w:rFonts w:ascii="Times New Roman" w:hAnsi="Times New Roman"/>
          <w:bCs/>
          <w:lang w:eastAsia="hr-HR"/>
        </w:rPr>
        <w:t>93</w:t>
      </w:r>
      <w:r w:rsidR="00D8380C">
        <w:rPr>
          <w:rFonts w:ascii="Times New Roman" w:hAnsi="Times New Roman"/>
          <w:bCs/>
          <w:lang w:eastAsia="hr-HR"/>
        </w:rPr>
        <w:t>6</w:t>
      </w:r>
      <w:r w:rsidRPr="00740137">
        <w:rPr>
          <w:rFonts w:ascii="Times New Roman" w:hAnsi="Times New Roman"/>
          <w:bCs/>
          <w:lang w:eastAsia="hr-HR"/>
        </w:rPr>
        <w:t xml:space="preserve"> ugovor o koncesiji, od čega se najveći dio odnosi na ugovor</w:t>
      </w:r>
      <w:r w:rsidR="004E1C7E" w:rsidRPr="00740137">
        <w:rPr>
          <w:rFonts w:ascii="Times New Roman" w:hAnsi="Times New Roman"/>
          <w:bCs/>
          <w:lang w:eastAsia="hr-HR"/>
        </w:rPr>
        <w:t>e</w:t>
      </w:r>
      <w:r w:rsidRPr="00740137">
        <w:rPr>
          <w:rFonts w:ascii="Times New Roman" w:hAnsi="Times New Roman"/>
          <w:bCs/>
          <w:lang w:eastAsia="hr-HR"/>
        </w:rPr>
        <w:t xml:space="preserve"> za obavljanje </w:t>
      </w:r>
      <w:r w:rsidR="00C2114B" w:rsidRPr="00740137">
        <w:rPr>
          <w:rFonts w:ascii="Times New Roman" w:hAnsi="Times New Roman"/>
          <w:bCs/>
          <w:lang w:eastAsia="hr-HR"/>
        </w:rPr>
        <w:t>lučkih djelatnosti</w:t>
      </w:r>
      <w:r w:rsidRPr="00740137">
        <w:rPr>
          <w:rFonts w:ascii="Times New Roman" w:hAnsi="Times New Roman"/>
          <w:bCs/>
          <w:lang w:eastAsia="hr-HR"/>
        </w:rPr>
        <w:t xml:space="preserve"> (</w:t>
      </w:r>
      <w:r w:rsidR="004E1C7E" w:rsidRPr="00740137">
        <w:rPr>
          <w:rFonts w:ascii="Times New Roman" w:hAnsi="Times New Roman"/>
          <w:bCs/>
          <w:lang w:eastAsia="hr-HR"/>
        </w:rPr>
        <w:t xml:space="preserve">njih </w:t>
      </w:r>
      <w:r w:rsidR="00594C0F" w:rsidRPr="00740137">
        <w:rPr>
          <w:rFonts w:ascii="Times New Roman" w:hAnsi="Times New Roman"/>
          <w:bCs/>
          <w:lang w:eastAsia="hr-HR"/>
        </w:rPr>
        <w:t>400</w:t>
      </w:r>
      <w:r w:rsidR="00C2114B" w:rsidRPr="00740137">
        <w:rPr>
          <w:rFonts w:ascii="Times New Roman" w:hAnsi="Times New Roman"/>
          <w:bCs/>
          <w:lang w:eastAsia="hr-HR"/>
        </w:rPr>
        <w:t>)</w:t>
      </w:r>
      <w:r w:rsidR="00386F38" w:rsidRPr="00740137">
        <w:rPr>
          <w:rFonts w:ascii="Times New Roman" w:hAnsi="Times New Roman"/>
          <w:bCs/>
          <w:lang w:eastAsia="hr-HR"/>
        </w:rPr>
        <w:t>.</w:t>
      </w:r>
    </w:p>
    <w:p w14:paraId="7D3305D8" w14:textId="77777777" w:rsidR="00911414" w:rsidRPr="00740137" w:rsidRDefault="00911414" w:rsidP="00995044">
      <w:pPr>
        <w:spacing w:after="0" w:line="240" w:lineRule="auto"/>
        <w:jc w:val="both"/>
        <w:rPr>
          <w:rFonts w:ascii="Times New Roman" w:hAnsi="Times New Roman"/>
          <w:b/>
          <w:bCs/>
          <w:lang w:eastAsia="hr-HR"/>
        </w:rPr>
      </w:pPr>
    </w:p>
    <w:p w14:paraId="7D3305D9" w14:textId="77777777" w:rsidR="00911414" w:rsidRPr="00740137" w:rsidRDefault="00911414" w:rsidP="0089045A">
      <w:pPr>
        <w:spacing w:after="0" w:line="240" w:lineRule="auto"/>
        <w:jc w:val="both"/>
        <w:rPr>
          <w:rFonts w:ascii="Times New Roman" w:hAnsi="Times New Roman"/>
          <w:bCs/>
          <w:sz w:val="20"/>
          <w:szCs w:val="20"/>
          <w:lang w:eastAsia="hr-HR"/>
        </w:rPr>
      </w:pPr>
      <w:r w:rsidRPr="00740137">
        <w:rPr>
          <w:rFonts w:ascii="Times New Roman" w:hAnsi="Times New Roman"/>
          <w:b/>
          <w:bCs/>
          <w:sz w:val="20"/>
          <w:szCs w:val="20"/>
          <w:lang w:eastAsia="hr-HR"/>
        </w:rPr>
        <w:t xml:space="preserve">Tablica </w:t>
      </w:r>
      <w:r w:rsidR="00B26A1F" w:rsidRPr="00740137">
        <w:rPr>
          <w:rFonts w:ascii="Times New Roman" w:hAnsi="Times New Roman"/>
          <w:b/>
          <w:bCs/>
          <w:sz w:val="20"/>
          <w:szCs w:val="20"/>
          <w:lang w:eastAsia="hr-HR"/>
        </w:rPr>
        <w:t>8</w:t>
      </w:r>
      <w:r w:rsidRPr="00740137">
        <w:rPr>
          <w:rFonts w:ascii="Times New Roman" w:hAnsi="Times New Roman"/>
          <w:b/>
          <w:bCs/>
          <w:sz w:val="20"/>
          <w:szCs w:val="20"/>
          <w:lang w:eastAsia="hr-HR"/>
        </w:rPr>
        <w:t xml:space="preserve">: </w:t>
      </w:r>
      <w:r w:rsidR="006725F0" w:rsidRPr="00740137">
        <w:rPr>
          <w:rFonts w:ascii="Times New Roman" w:hAnsi="Times New Roman"/>
          <w:bCs/>
          <w:sz w:val="20"/>
          <w:szCs w:val="20"/>
          <w:lang w:eastAsia="hr-HR"/>
        </w:rPr>
        <w:t>B</w:t>
      </w:r>
      <w:r w:rsidRPr="00740137">
        <w:rPr>
          <w:rFonts w:ascii="Times New Roman" w:hAnsi="Times New Roman"/>
          <w:bCs/>
          <w:sz w:val="20"/>
          <w:szCs w:val="20"/>
          <w:lang w:eastAsia="hr-HR"/>
        </w:rPr>
        <w:t>roj sklopljenih ugovora tijekom 201</w:t>
      </w:r>
      <w:r w:rsidR="00541149">
        <w:rPr>
          <w:rFonts w:ascii="Times New Roman" w:hAnsi="Times New Roman"/>
          <w:bCs/>
          <w:sz w:val="20"/>
          <w:szCs w:val="20"/>
          <w:lang w:eastAsia="hr-HR"/>
        </w:rPr>
        <w:t>8</w:t>
      </w:r>
      <w:r w:rsidRPr="00740137">
        <w:rPr>
          <w:rFonts w:ascii="Times New Roman" w:hAnsi="Times New Roman"/>
          <w:bCs/>
          <w:sz w:val="20"/>
          <w:szCs w:val="20"/>
          <w:lang w:eastAsia="hr-HR"/>
        </w:rPr>
        <w:t>.</w:t>
      </w:r>
      <w:r w:rsidR="006725F0" w:rsidRPr="00740137">
        <w:rPr>
          <w:rFonts w:ascii="Times New Roman" w:hAnsi="Times New Roman"/>
          <w:bCs/>
          <w:sz w:val="20"/>
          <w:szCs w:val="20"/>
          <w:lang w:eastAsia="hr-HR"/>
        </w:rPr>
        <w:t xml:space="preserve"> i 201</w:t>
      </w:r>
      <w:r w:rsidR="00541149">
        <w:rPr>
          <w:rFonts w:ascii="Times New Roman" w:hAnsi="Times New Roman"/>
          <w:bCs/>
          <w:sz w:val="20"/>
          <w:szCs w:val="20"/>
          <w:lang w:eastAsia="hr-HR"/>
        </w:rPr>
        <w:t>9</w:t>
      </w:r>
      <w:r w:rsidR="006725F0" w:rsidRPr="00740137">
        <w:rPr>
          <w:rFonts w:ascii="Times New Roman" w:hAnsi="Times New Roman"/>
          <w:bCs/>
          <w:sz w:val="20"/>
          <w:szCs w:val="20"/>
          <w:lang w:eastAsia="hr-HR"/>
        </w:rPr>
        <w:t>.</w:t>
      </w:r>
      <w:r w:rsidRPr="00740137">
        <w:rPr>
          <w:rFonts w:ascii="Times New Roman" w:hAnsi="Times New Roman"/>
          <w:bCs/>
          <w:sz w:val="20"/>
          <w:szCs w:val="20"/>
          <w:lang w:eastAsia="hr-HR"/>
        </w:rPr>
        <w:t xml:space="preserve"> godine</w:t>
      </w:r>
    </w:p>
    <w:p w14:paraId="7D3305DA" w14:textId="77777777" w:rsidR="00911414" w:rsidRPr="00235530" w:rsidRDefault="00D8380C" w:rsidP="0015562C">
      <w:pPr>
        <w:spacing w:after="0" w:line="240" w:lineRule="auto"/>
        <w:jc w:val="both"/>
        <w:rPr>
          <w:rFonts w:ascii="Times New Roman" w:hAnsi="Times New Roman"/>
          <w:color w:val="FF0000"/>
        </w:rPr>
      </w:pPr>
      <w:r w:rsidRPr="00D8380C">
        <w:rPr>
          <w:noProof/>
          <w:lang w:eastAsia="hr-HR"/>
        </w:rPr>
        <w:drawing>
          <wp:inline distT="0" distB="0" distL="0" distR="0" wp14:anchorId="7D3306E6" wp14:editId="7D3306E7">
            <wp:extent cx="4449445" cy="2771775"/>
            <wp:effectExtent l="0" t="0" r="825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9445" cy="2771775"/>
                    </a:xfrm>
                    <a:prstGeom prst="rect">
                      <a:avLst/>
                    </a:prstGeom>
                    <a:noFill/>
                    <a:ln>
                      <a:noFill/>
                    </a:ln>
                  </pic:spPr>
                </pic:pic>
              </a:graphicData>
            </a:graphic>
          </wp:inline>
        </w:drawing>
      </w:r>
    </w:p>
    <w:p w14:paraId="7D3305DB" w14:textId="77777777" w:rsidR="00911414" w:rsidRPr="00235530" w:rsidRDefault="00911414" w:rsidP="0015562C">
      <w:pPr>
        <w:spacing w:after="0" w:line="240" w:lineRule="auto"/>
        <w:jc w:val="both"/>
        <w:rPr>
          <w:rFonts w:ascii="Times New Roman" w:hAnsi="Times New Roman"/>
          <w:b/>
          <w:sz w:val="18"/>
          <w:szCs w:val="18"/>
          <w:lang w:eastAsia="hr-HR"/>
        </w:rPr>
      </w:pPr>
      <w:r w:rsidRPr="00235530">
        <w:rPr>
          <w:rFonts w:ascii="Times New Roman" w:hAnsi="Times New Roman"/>
          <w:b/>
          <w:sz w:val="18"/>
          <w:szCs w:val="18"/>
          <w:lang w:eastAsia="hr-HR"/>
        </w:rPr>
        <w:t>Izvor</w:t>
      </w:r>
      <w:r w:rsidRPr="00235530">
        <w:rPr>
          <w:rFonts w:ascii="Times New Roman" w:hAnsi="Times New Roman"/>
          <w:bCs/>
          <w:sz w:val="18"/>
          <w:szCs w:val="18"/>
          <w:lang w:eastAsia="hr-HR"/>
        </w:rPr>
        <w:t>: Ministarstvo financija, Registar koncesija</w:t>
      </w:r>
    </w:p>
    <w:p w14:paraId="7D3305DC" w14:textId="77777777" w:rsidR="002E5EAE" w:rsidRPr="00235530" w:rsidRDefault="002E5EAE" w:rsidP="00CB1607">
      <w:pPr>
        <w:spacing w:after="0" w:line="240" w:lineRule="auto"/>
        <w:jc w:val="both"/>
        <w:outlineLvl w:val="0"/>
        <w:rPr>
          <w:rFonts w:ascii="Times New Roman" w:hAnsi="Times New Roman"/>
          <w:bCs/>
          <w:lang w:eastAsia="hr-HR"/>
        </w:rPr>
      </w:pPr>
    </w:p>
    <w:p w14:paraId="7D3305DD" w14:textId="77777777" w:rsidR="002A2215" w:rsidRPr="00235530" w:rsidRDefault="002A2215" w:rsidP="00CB1607">
      <w:pPr>
        <w:spacing w:after="0" w:line="240" w:lineRule="auto"/>
        <w:jc w:val="both"/>
        <w:outlineLvl w:val="0"/>
        <w:rPr>
          <w:rFonts w:ascii="Times New Roman" w:hAnsi="Times New Roman"/>
        </w:rPr>
      </w:pPr>
      <w:bookmarkStart w:id="5" w:name="_Toc526419493"/>
      <w:r w:rsidRPr="00235530">
        <w:rPr>
          <w:rFonts w:ascii="Times New Roman" w:hAnsi="Times New Roman"/>
          <w:bCs/>
          <w:lang w:eastAsia="hr-HR"/>
        </w:rPr>
        <w:lastRenderedPageBreak/>
        <w:t xml:space="preserve">Promatrajući broj sklopljenih ugovora može se konstatirati kao je veći dio danih koncesija obuhvatio područje </w:t>
      </w:r>
      <w:r w:rsidR="00476966">
        <w:rPr>
          <w:rFonts w:ascii="Times New Roman" w:hAnsi="Times New Roman"/>
          <w:bCs/>
          <w:lang w:eastAsia="hr-HR"/>
        </w:rPr>
        <w:t xml:space="preserve">pomorskog dobra, te </w:t>
      </w:r>
      <w:r w:rsidRPr="00235530">
        <w:rPr>
          <w:rFonts w:ascii="Times New Roman" w:hAnsi="Times New Roman"/>
          <w:bCs/>
          <w:lang w:eastAsia="hr-HR"/>
        </w:rPr>
        <w:t xml:space="preserve">komunalnog gospodarstva i zdravstvene djelatnosti. </w:t>
      </w:r>
      <w:r w:rsidR="00DD1D54">
        <w:rPr>
          <w:rFonts w:ascii="Times New Roman" w:hAnsi="Times New Roman"/>
          <w:bCs/>
          <w:lang w:eastAsia="hr-HR"/>
        </w:rPr>
        <w:t xml:space="preserve">Sklapanje ugovora o koncesiji iz područja komunalnog gospodarstva i zdravstvene djelatnosti </w:t>
      </w:r>
      <w:r w:rsidRPr="00235530">
        <w:rPr>
          <w:rFonts w:ascii="Times New Roman" w:hAnsi="Times New Roman"/>
          <w:bCs/>
          <w:lang w:eastAsia="hr-HR"/>
        </w:rPr>
        <w:t>propisan</w:t>
      </w:r>
      <w:r w:rsidR="00DD1D54">
        <w:rPr>
          <w:rFonts w:ascii="Times New Roman" w:hAnsi="Times New Roman"/>
          <w:bCs/>
          <w:lang w:eastAsia="hr-HR"/>
        </w:rPr>
        <w:t>o je</w:t>
      </w:r>
      <w:r w:rsidRPr="00235530">
        <w:rPr>
          <w:rFonts w:ascii="Times New Roman" w:hAnsi="Times New Roman"/>
          <w:bCs/>
          <w:lang w:eastAsia="hr-HR"/>
        </w:rPr>
        <w:t xml:space="preserve"> posebnim zakonima, a </w:t>
      </w:r>
      <w:r w:rsidR="00594C0F">
        <w:rPr>
          <w:rFonts w:ascii="Times New Roman" w:hAnsi="Times New Roman"/>
          <w:bCs/>
          <w:lang w:eastAsia="hr-HR"/>
        </w:rPr>
        <w:t>istima</w:t>
      </w:r>
      <w:r w:rsidRPr="00235530">
        <w:rPr>
          <w:rFonts w:ascii="Times New Roman" w:hAnsi="Times New Roman"/>
          <w:bCs/>
          <w:lang w:eastAsia="hr-HR"/>
        </w:rPr>
        <w:t xml:space="preserve"> se osigurava nužna zaštita života i zaštite ljudi</w:t>
      </w:r>
      <w:r w:rsidRPr="00235530">
        <w:rPr>
          <w:rFonts w:ascii="Times New Roman" w:hAnsi="Times New Roman"/>
          <w:b/>
          <w:bCs/>
          <w:lang w:eastAsia="hr-HR"/>
        </w:rPr>
        <w:t xml:space="preserve"> </w:t>
      </w:r>
      <w:r w:rsidRPr="004E1C7E">
        <w:rPr>
          <w:rFonts w:ascii="Times New Roman" w:hAnsi="Times New Roman"/>
          <w:bCs/>
          <w:lang w:eastAsia="hr-HR"/>
        </w:rPr>
        <w:t>(</w:t>
      </w:r>
      <w:r w:rsidRPr="00235530">
        <w:rPr>
          <w:rFonts w:ascii="Times New Roman" w:hAnsi="Times New Roman"/>
          <w:bCs/>
          <w:lang w:eastAsia="hr-HR"/>
        </w:rPr>
        <w:t xml:space="preserve">koncesije za djelatnost dimnjačara, crpljenja septičkih jama, naplate parkiranja, odvoz otpada (smeća), pružanje primarne zdravstvene zaštite i </w:t>
      </w:r>
      <w:r w:rsidRPr="00235530">
        <w:rPr>
          <w:rFonts w:ascii="Times New Roman" w:hAnsi="Times New Roman"/>
          <w:lang w:eastAsia="hr-HR"/>
        </w:rPr>
        <w:t>dr.).</w:t>
      </w:r>
      <w:bookmarkEnd w:id="5"/>
    </w:p>
    <w:p w14:paraId="7D3305DE" w14:textId="77777777" w:rsidR="0064092B" w:rsidRPr="00235530" w:rsidRDefault="0064092B" w:rsidP="00CB1607">
      <w:pPr>
        <w:spacing w:after="0" w:line="240" w:lineRule="auto"/>
        <w:jc w:val="both"/>
        <w:outlineLvl w:val="0"/>
        <w:rPr>
          <w:rFonts w:ascii="Times New Roman" w:hAnsi="Times New Roman"/>
        </w:rPr>
      </w:pPr>
    </w:p>
    <w:p w14:paraId="7D3305DF" w14:textId="77777777" w:rsidR="00CB1607" w:rsidRPr="00235530" w:rsidRDefault="00CB1607" w:rsidP="00CB1607">
      <w:pPr>
        <w:spacing w:after="0" w:line="240" w:lineRule="auto"/>
        <w:jc w:val="both"/>
        <w:outlineLvl w:val="0"/>
        <w:rPr>
          <w:rFonts w:ascii="Times New Roman" w:hAnsi="Times New Roman"/>
        </w:rPr>
      </w:pPr>
      <w:bookmarkStart w:id="6" w:name="_Toc526419494"/>
      <w:r w:rsidRPr="00235530">
        <w:rPr>
          <w:rFonts w:ascii="Times New Roman" w:hAnsi="Times New Roman"/>
        </w:rPr>
        <w:t>Sukladno obvezi odredb</w:t>
      </w:r>
      <w:r w:rsidR="00DD1D54">
        <w:rPr>
          <w:rFonts w:ascii="Times New Roman" w:hAnsi="Times New Roman"/>
        </w:rPr>
        <w:t>e</w:t>
      </w:r>
      <w:r w:rsidRPr="00235530">
        <w:rPr>
          <w:rFonts w:ascii="Times New Roman" w:hAnsi="Times New Roman"/>
        </w:rPr>
        <w:t xml:space="preserve"> Zakona, Ministarstvo financija ustrojilo je evidenciju Planova davanja koncesija za 201</w:t>
      </w:r>
      <w:r w:rsidR="00740137">
        <w:rPr>
          <w:rFonts w:ascii="Times New Roman" w:hAnsi="Times New Roman"/>
        </w:rPr>
        <w:t>9</w:t>
      </w:r>
      <w:r w:rsidRPr="00235530">
        <w:rPr>
          <w:rFonts w:ascii="Times New Roman" w:hAnsi="Times New Roman"/>
        </w:rPr>
        <w:t>. godinu, te je isto usporedilo s ugovorima evidentiranim u Registru koncesija.</w:t>
      </w:r>
      <w:bookmarkEnd w:id="6"/>
    </w:p>
    <w:p w14:paraId="7D3305E0" w14:textId="77777777" w:rsidR="00CB1607" w:rsidRPr="00235530" w:rsidRDefault="00CB1607" w:rsidP="00CB1607">
      <w:pPr>
        <w:spacing w:after="0" w:line="240" w:lineRule="auto"/>
        <w:jc w:val="both"/>
        <w:rPr>
          <w:rFonts w:ascii="Times New Roman" w:hAnsi="Times New Roman"/>
        </w:rPr>
      </w:pPr>
    </w:p>
    <w:p w14:paraId="7D3305E1" w14:textId="77777777" w:rsidR="00CB1607" w:rsidRPr="00235530" w:rsidRDefault="00CB1607" w:rsidP="00CB1607">
      <w:pPr>
        <w:spacing w:after="0" w:line="240" w:lineRule="auto"/>
        <w:jc w:val="both"/>
        <w:rPr>
          <w:rFonts w:ascii="Times New Roman" w:hAnsi="Times New Roman"/>
        </w:rPr>
      </w:pPr>
      <w:r w:rsidRPr="00644172">
        <w:rPr>
          <w:rFonts w:ascii="Times New Roman" w:hAnsi="Times New Roman"/>
        </w:rPr>
        <w:t xml:space="preserve">Prema evidenciji Ministarstva financija od ukupnog broja davatelja koncesija zaprimljeno je očitovanje njih </w:t>
      </w:r>
      <w:r w:rsidR="00644172" w:rsidRPr="00644172">
        <w:rPr>
          <w:rFonts w:ascii="Times New Roman" w:hAnsi="Times New Roman"/>
        </w:rPr>
        <w:t>230</w:t>
      </w:r>
      <w:r w:rsidRPr="00644172">
        <w:rPr>
          <w:rFonts w:ascii="Times New Roman" w:hAnsi="Times New Roman"/>
        </w:rPr>
        <w:t xml:space="preserve">, odnosno </w:t>
      </w:r>
      <w:r w:rsidR="00644172" w:rsidRPr="00644172">
        <w:rPr>
          <w:rFonts w:ascii="Times New Roman" w:hAnsi="Times New Roman"/>
        </w:rPr>
        <w:t>41,2</w:t>
      </w:r>
      <w:r w:rsidRPr="00644172">
        <w:rPr>
          <w:rFonts w:ascii="Times New Roman" w:hAnsi="Times New Roman"/>
        </w:rPr>
        <w:t xml:space="preserve">%. Od </w:t>
      </w:r>
      <w:r w:rsidR="00644172" w:rsidRPr="00644172">
        <w:rPr>
          <w:rFonts w:ascii="Times New Roman" w:hAnsi="Times New Roman"/>
        </w:rPr>
        <w:t>230</w:t>
      </w:r>
      <w:r w:rsidRPr="00644172">
        <w:rPr>
          <w:rFonts w:ascii="Times New Roman" w:hAnsi="Times New Roman"/>
        </w:rPr>
        <w:t xml:space="preserve"> davatelja koncesija koji su dostavili </w:t>
      </w:r>
      <w:r w:rsidR="00594C0F" w:rsidRPr="00644172">
        <w:rPr>
          <w:rFonts w:ascii="Times New Roman" w:hAnsi="Times New Roman"/>
        </w:rPr>
        <w:t xml:space="preserve">očitovanja </w:t>
      </w:r>
      <w:r w:rsidRPr="00644172">
        <w:rPr>
          <w:rFonts w:ascii="Times New Roman" w:hAnsi="Times New Roman"/>
        </w:rPr>
        <w:t>za 201</w:t>
      </w:r>
      <w:r w:rsidR="00644172" w:rsidRPr="00644172">
        <w:rPr>
          <w:rFonts w:ascii="Times New Roman" w:hAnsi="Times New Roman"/>
        </w:rPr>
        <w:t>9</w:t>
      </w:r>
      <w:r w:rsidRPr="00644172">
        <w:rPr>
          <w:rFonts w:ascii="Times New Roman" w:hAnsi="Times New Roman"/>
        </w:rPr>
        <w:t xml:space="preserve">. godinu njih </w:t>
      </w:r>
      <w:r w:rsidR="00644172" w:rsidRPr="00644172">
        <w:rPr>
          <w:rFonts w:ascii="Times New Roman" w:hAnsi="Times New Roman"/>
        </w:rPr>
        <w:t>62</w:t>
      </w:r>
      <w:r w:rsidRPr="00644172">
        <w:rPr>
          <w:rFonts w:ascii="Times New Roman" w:hAnsi="Times New Roman"/>
        </w:rPr>
        <w:t xml:space="preserve"> (</w:t>
      </w:r>
      <w:r w:rsidR="00644172" w:rsidRPr="00644172">
        <w:rPr>
          <w:rFonts w:ascii="Times New Roman" w:hAnsi="Times New Roman"/>
        </w:rPr>
        <w:t>30,0</w:t>
      </w:r>
      <w:r w:rsidR="00D87B09" w:rsidRPr="00644172">
        <w:rPr>
          <w:rFonts w:ascii="Times New Roman" w:hAnsi="Times New Roman"/>
        </w:rPr>
        <w:t xml:space="preserve"> posto</w:t>
      </w:r>
      <w:r w:rsidRPr="00644172">
        <w:rPr>
          <w:rFonts w:ascii="Times New Roman" w:hAnsi="Times New Roman"/>
        </w:rPr>
        <w:t>) je odgovorio kao nema u planu davanje novih koncesija u 201</w:t>
      </w:r>
      <w:r w:rsidR="00644172" w:rsidRPr="00644172">
        <w:rPr>
          <w:rFonts w:ascii="Times New Roman" w:hAnsi="Times New Roman"/>
        </w:rPr>
        <w:t>9</w:t>
      </w:r>
      <w:r w:rsidRPr="00644172">
        <w:rPr>
          <w:rFonts w:ascii="Times New Roman" w:hAnsi="Times New Roman"/>
        </w:rPr>
        <w:t>. godini.</w:t>
      </w:r>
    </w:p>
    <w:p w14:paraId="7D3305E2" w14:textId="77777777" w:rsidR="00CB1607" w:rsidRPr="00235530" w:rsidRDefault="00CB1607" w:rsidP="00CB1607">
      <w:pPr>
        <w:spacing w:after="0" w:line="240" w:lineRule="auto"/>
        <w:jc w:val="both"/>
        <w:outlineLvl w:val="0"/>
        <w:rPr>
          <w:rFonts w:ascii="Times New Roman" w:hAnsi="Times New Roman"/>
        </w:rPr>
      </w:pPr>
    </w:p>
    <w:p w14:paraId="7D3305E3" w14:textId="77777777" w:rsidR="00CB1607" w:rsidRPr="00235530" w:rsidRDefault="00CB1607" w:rsidP="00CB1607">
      <w:pPr>
        <w:spacing w:after="0" w:line="240" w:lineRule="auto"/>
        <w:jc w:val="both"/>
        <w:outlineLvl w:val="0"/>
        <w:rPr>
          <w:rFonts w:ascii="Times New Roman" w:hAnsi="Times New Roman"/>
        </w:rPr>
      </w:pPr>
      <w:bookmarkStart w:id="7" w:name="_Toc526419495"/>
      <w:r w:rsidRPr="00235530">
        <w:rPr>
          <w:rFonts w:ascii="Times New Roman" w:hAnsi="Times New Roman"/>
        </w:rPr>
        <w:t>Uspoređujući podatke iz planova davanja koncesija s brojem sklopljenih govora o koncesijama iz Registra koncesija, utvrđeni su određeni nerazmjeri u ostvarivanju istih.</w:t>
      </w:r>
      <w:bookmarkEnd w:id="7"/>
      <w:r w:rsidRPr="00235530">
        <w:rPr>
          <w:rFonts w:ascii="Times New Roman" w:hAnsi="Times New Roman"/>
        </w:rPr>
        <w:t xml:space="preserve"> </w:t>
      </w:r>
    </w:p>
    <w:p w14:paraId="7D3305E4" w14:textId="77777777" w:rsidR="008C5DF5" w:rsidRPr="00235530" w:rsidRDefault="008C5DF5" w:rsidP="00CB1607">
      <w:pPr>
        <w:spacing w:after="0" w:line="240" w:lineRule="auto"/>
        <w:jc w:val="both"/>
        <w:outlineLvl w:val="0"/>
        <w:rPr>
          <w:rFonts w:ascii="Times New Roman" w:hAnsi="Times New Roman"/>
        </w:rPr>
      </w:pPr>
    </w:p>
    <w:p w14:paraId="7D3305E5" w14:textId="77777777" w:rsidR="008C5DF5" w:rsidRPr="00235530" w:rsidRDefault="008C5DF5" w:rsidP="00CB1607">
      <w:pPr>
        <w:spacing w:after="0" w:line="240" w:lineRule="auto"/>
        <w:jc w:val="both"/>
        <w:outlineLvl w:val="0"/>
        <w:rPr>
          <w:rFonts w:ascii="Times New Roman" w:hAnsi="Times New Roman"/>
        </w:rPr>
      </w:pPr>
      <w:bookmarkStart w:id="8" w:name="_Toc526419496"/>
      <w:r w:rsidRPr="00235530">
        <w:rPr>
          <w:rFonts w:ascii="Times New Roman" w:hAnsi="Times New Roman"/>
        </w:rPr>
        <w:t>Svakako treba naglasiti da Plan davanja koncesija nužno ne mora značiti i izvršenje istoga. Stoga, davatelji koncesije i tijekom tekuće godine mogu donositi izmjene i dopune Plana.</w:t>
      </w:r>
      <w:bookmarkEnd w:id="8"/>
    </w:p>
    <w:p w14:paraId="7D3305E6" w14:textId="77777777" w:rsidR="008C5DF5" w:rsidRPr="00235530" w:rsidRDefault="008C5DF5" w:rsidP="00CB1607">
      <w:pPr>
        <w:spacing w:after="0" w:line="240" w:lineRule="auto"/>
        <w:jc w:val="both"/>
        <w:outlineLvl w:val="0"/>
        <w:rPr>
          <w:rFonts w:ascii="Times New Roman" w:hAnsi="Times New Roman"/>
        </w:rPr>
      </w:pPr>
    </w:p>
    <w:p w14:paraId="7D3305E7" w14:textId="77777777" w:rsidR="008C5DF5" w:rsidRPr="00235530" w:rsidRDefault="008C5DF5" w:rsidP="00CB1607">
      <w:pPr>
        <w:spacing w:after="0" w:line="240" w:lineRule="auto"/>
        <w:jc w:val="both"/>
        <w:outlineLvl w:val="0"/>
        <w:rPr>
          <w:rFonts w:ascii="Times New Roman" w:hAnsi="Times New Roman"/>
        </w:rPr>
      </w:pPr>
      <w:bookmarkStart w:id="9" w:name="_Toc526419497"/>
      <w:r w:rsidRPr="00235530">
        <w:rPr>
          <w:rFonts w:ascii="Times New Roman" w:hAnsi="Times New Roman"/>
        </w:rPr>
        <w:t>Također bitno je napomenuti kako u broj ugovora koji su sklopljeni tijekom 201</w:t>
      </w:r>
      <w:r w:rsidR="00644172">
        <w:rPr>
          <w:rFonts w:ascii="Times New Roman" w:hAnsi="Times New Roman"/>
        </w:rPr>
        <w:t>9</w:t>
      </w:r>
      <w:r w:rsidRPr="00235530">
        <w:rPr>
          <w:rFonts w:ascii="Times New Roman" w:hAnsi="Times New Roman"/>
        </w:rPr>
        <w:t>. godine ulaze svi ugovori kojima je datum početka koncesije unutar promatrane godine, bez obzira kada je započeo sam postupak davanja koncesija za isti.</w:t>
      </w:r>
      <w:r w:rsidR="00E417D7" w:rsidRPr="00235530">
        <w:rPr>
          <w:rFonts w:ascii="Times New Roman" w:hAnsi="Times New Roman"/>
        </w:rPr>
        <w:t xml:space="preserve"> Naime, davatelj koncesije je sukladno odredbi Zakona morao na vrijeme pokrenuti postupak davanja koncesije, a što se tiče javnih usluga, taj vremenski period je najmanje 9 mjeseci prije isteka roka postojećeg ugovora o koncesiji.</w:t>
      </w:r>
      <w:r w:rsidR="00B45873" w:rsidRPr="00235530">
        <w:rPr>
          <w:rFonts w:ascii="Times New Roman" w:hAnsi="Times New Roman"/>
        </w:rPr>
        <w:t xml:space="preserve"> Dakle, za pojedine ugovore koji su sklopljeni tijekom 201</w:t>
      </w:r>
      <w:r w:rsidR="00644172">
        <w:rPr>
          <w:rFonts w:ascii="Times New Roman" w:hAnsi="Times New Roman"/>
        </w:rPr>
        <w:t>9</w:t>
      </w:r>
      <w:r w:rsidR="00B45873" w:rsidRPr="00235530">
        <w:rPr>
          <w:rFonts w:ascii="Times New Roman" w:hAnsi="Times New Roman"/>
        </w:rPr>
        <w:t>. godine postupci su započeti ranije, tijekom prethodnih razdoblja.</w:t>
      </w:r>
      <w:bookmarkEnd w:id="9"/>
    </w:p>
    <w:p w14:paraId="7D3305E8" w14:textId="77777777" w:rsidR="008C5DF5" w:rsidRPr="00235530" w:rsidRDefault="008C5DF5" w:rsidP="00CB1607">
      <w:pPr>
        <w:spacing w:after="0" w:line="240" w:lineRule="auto"/>
        <w:jc w:val="both"/>
        <w:outlineLvl w:val="0"/>
        <w:rPr>
          <w:rFonts w:ascii="Times New Roman" w:hAnsi="Times New Roman"/>
        </w:rPr>
      </w:pPr>
    </w:p>
    <w:p w14:paraId="7D3305E9" w14:textId="77777777" w:rsidR="00301844" w:rsidRPr="00235530" w:rsidRDefault="00017C4A" w:rsidP="00CB1607">
      <w:pPr>
        <w:spacing w:after="0" w:line="240" w:lineRule="auto"/>
        <w:jc w:val="both"/>
        <w:outlineLvl w:val="0"/>
        <w:rPr>
          <w:rFonts w:ascii="Times New Roman" w:hAnsi="Times New Roman"/>
        </w:rPr>
      </w:pPr>
      <w:bookmarkStart w:id="10" w:name="_Toc526419498"/>
      <w:r w:rsidRPr="00235530">
        <w:rPr>
          <w:rFonts w:ascii="Times New Roman" w:hAnsi="Times New Roman"/>
        </w:rPr>
        <w:t>Obzirom na gore rečeno, ugovori o koncesiji koje je davatelj koncesije planirao tijekom 201</w:t>
      </w:r>
      <w:r w:rsidR="00644172">
        <w:rPr>
          <w:rFonts w:ascii="Times New Roman" w:hAnsi="Times New Roman"/>
        </w:rPr>
        <w:t>9</w:t>
      </w:r>
      <w:r w:rsidRPr="00235530">
        <w:rPr>
          <w:rFonts w:ascii="Times New Roman" w:hAnsi="Times New Roman"/>
        </w:rPr>
        <w:t>. godine, nisu nužno i sklopljeni tijekom 201</w:t>
      </w:r>
      <w:r w:rsidR="00644172">
        <w:rPr>
          <w:rFonts w:ascii="Times New Roman" w:hAnsi="Times New Roman"/>
        </w:rPr>
        <w:t>9</w:t>
      </w:r>
      <w:r w:rsidRPr="00235530">
        <w:rPr>
          <w:rFonts w:ascii="Times New Roman" w:hAnsi="Times New Roman"/>
        </w:rPr>
        <w:t>. godine, uzimajući u obzir tijek postupka davanja koncesija, a što uključuje i eventualne tijekove žalbenih postupaka.</w:t>
      </w:r>
      <w:bookmarkEnd w:id="10"/>
    </w:p>
    <w:p w14:paraId="7D3305EA" w14:textId="77777777" w:rsidR="00E42093" w:rsidRPr="00235530" w:rsidRDefault="00E42093" w:rsidP="00CB1607">
      <w:pPr>
        <w:spacing w:after="0" w:line="240" w:lineRule="auto"/>
        <w:jc w:val="both"/>
        <w:rPr>
          <w:rFonts w:ascii="Times New Roman" w:hAnsi="Times New Roman"/>
          <w:b/>
          <w:bCs/>
          <w:sz w:val="20"/>
          <w:szCs w:val="20"/>
          <w:lang w:eastAsia="hr-HR"/>
        </w:rPr>
      </w:pPr>
    </w:p>
    <w:p w14:paraId="7D3305EB" w14:textId="77777777" w:rsidR="00CB1607" w:rsidRPr="00235530" w:rsidRDefault="00CB1607" w:rsidP="00CB1607">
      <w:pPr>
        <w:spacing w:after="0" w:line="240" w:lineRule="auto"/>
        <w:jc w:val="both"/>
        <w:rPr>
          <w:rFonts w:ascii="Times New Roman" w:hAnsi="Times New Roman"/>
          <w:bCs/>
          <w:sz w:val="20"/>
          <w:szCs w:val="20"/>
          <w:lang w:eastAsia="hr-HR"/>
        </w:rPr>
      </w:pPr>
      <w:r w:rsidRPr="00235530">
        <w:rPr>
          <w:rFonts w:ascii="Times New Roman" w:hAnsi="Times New Roman"/>
          <w:b/>
          <w:bCs/>
          <w:sz w:val="20"/>
          <w:szCs w:val="20"/>
          <w:lang w:eastAsia="hr-HR"/>
        </w:rPr>
        <w:t xml:space="preserve">Tablica 9: </w:t>
      </w:r>
      <w:r w:rsidRPr="00235530">
        <w:rPr>
          <w:rFonts w:ascii="Times New Roman" w:hAnsi="Times New Roman"/>
          <w:bCs/>
          <w:sz w:val="20"/>
          <w:szCs w:val="20"/>
          <w:lang w:eastAsia="hr-HR"/>
        </w:rPr>
        <w:t>Planirani broj koncesija u 201</w:t>
      </w:r>
      <w:r w:rsidR="00541149">
        <w:rPr>
          <w:rFonts w:ascii="Times New Roman" w:hAnsi="Times New Roman"/>
          <w:bCs/>
          <w:sz w:val="20"/>
          <w:szCs w:val="20"/>
          <w:lang w:eastAsia="hr-HR"/>
        </w:rPr>
        <w:t>9</w:t>
      </w:r>
      <w:r w:rsidRPr="00235530">
        <w:rPr>
          <w:rFonts w:ascii="Times New Roman" w:hAnsi="Times New Roman"/>
          <w:bCs/>
          <w:sz w:val="20"/>
          <w:szCs w:val="20"/>
          <w:lang w:eastAsia="hr-HR"/>
        </w:rPr>
        <w:t>. i broj sklopljenih ugovora tijekom 201</w:t>
      </w:r>
      <w:r w:rsidR="00541149">
        <w:rPr>
          <w:rFonts w:ascii="Times New Roman" w:hAnsi="Times New Roman"/>
          <w:bCs/>
          <w:sz w:val="20"/>
          <w:szCs w:val="20"/>
          <w:lang w:eastAsia="hr-HR"/>
        </w:rPr>
        <w:t>9</w:t>
      </w:r>
      <w:r w:rsidRPr="00235530">
        <w:rPr>
          <w:rFonts w:ascii="Times New Roman" w:hAnsi="Times New Roman"/>
          <w:bCs/>
          <w:sz w:val="20"/>
          <w:szCs w:val="20"/>
          <w:lang w:eastAsia="hr-HR"/>
        </w:rPr>
        <w:t xml:space="preserve">. </w:t>
      </w:r>
      <w:r w:rsidR="00DF61AA">
        <w:rPr>
          <w:rFonts w:ascii="Times New Roman" w:hAnsi="Times New Roman"/>
          <w:bCs/>
          <w:sz w:val="20"/>
          <w:szCs w:val="20"/>
          <w:lang w:eastAsia="hr-HR"/>
        </w:rPr>
        <w:t>godine</w:t>
      </w:r>
    </w:p>
    <w:p w14:paraId="7D3305EC" w14:textId="77777777" w:rsidR="003C2951" w:rsidRDefault="00F847C5" w:rsidP="00CB1607">
      <w:pPr>
        <w:spacing w:after="0" w:line="240" w:lineRule="auto"/>
        <w:jc w:val="both"/>
        <w:rPr>
          <w:rFonts w:ascii="Times New Roman" w:hAnsi="Times New Roman"/>
          <w:b/>
          <w:sz w:val="18"/>
          <w:szCs w:val="18"/>
          <w:lang w:eastAsia="hr-HR"/>
        </w:rPr>
      </w:pPr>
      <w:r w:rsidRPr="00F847C5">
        <w:rPr>
          <w:noProof/>
          <w:lang w:eastAsia="hr-HR"/>
        </w:rPr>
        <w:drawing>
          <wp:inline distT="0" distB="0" distL="0" distR="0" wp14:anchorId="7D3306E8" wp14:editId="7D3306E9">
            <wp:extent cx="4543425" cy="2469515"/>
            <wp:effectExtent l="0" t="0" r="9525" b="698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3425" cy="2469515"/>
                    </a:xfrm>
                    <a:prstGeom prst="rect">
                      <a:avLst/>
                    </a:prstGeom>
                    <a:noFill/>
                    <a:ln>
                      <a:noFill/>
                    </a:ln>
                  </pic:spPr>
                </pic:pic>
              </a:graphicData>
            </a:graphic>
          </wp:inline>
        </w:drawing>
      </w:r>
    </w:p>
    <w:p w14:paraId="7D3305ED" w14:textId="77777777" w:rsidR="00CB1607" w:rsidRPr="00235530" w:rsidRDefault="00CB1607" w:rsidP="00CB1607">
      <w:pPr>
        <w:spacing w:after="0" w:line="240" w:lineRule="auto"/>
        <w:jc w:val="both"/>
        <w:rPr>
          <w:rFonts w:ascii="Times New Roman" w:hAnsi="Times New Roman"/>
          <w:color w:val="FF0000"/>
        </w:rPr>
      </w:pPr>
      <w:r w:rsidRPr="00235530">
        <w:rPr>
          <w:rFonts w:ascii="Times New Roman" w:hAnsi="Times New Roman"/>
          <w:b/>
          <w:sz w:val="18"/>
          <w:szCs w:val="18"/>
          <w:lang w:eastAsia="hr-HR"/>
        </w:rPr>
        <w:t>Izvor</w:t>
      </w:r>
      <w:r w:rsidRPr="00235530">
        <w:rPr>
          <w:rFonts w:ascii="Times New Roman" w:hAnsi="Times New Roman"/>
          <w:bCs/>
          <w:sz w:val="18"/>
          <w:szCs w:val="18"/>
          <w:lang w:eastAsia="hr-HR"/>
        </w:rPr>
        <w:t>: Ministarstvo financija, Registar koncesija</w:t>
      </w:r>
    </w:p>
    <w:p w14:paraId="7D3305EE" w14:textId="77777777" w:rsidR="00CB1607" w:rsidRPr="00235530" w:rsidRDefault="00CB1607" w:rsidP="00CB1607">
      <w:pPr>
        <w:spacing w:after="0" w:line="240" w:lineRule="auto"/>
        <w:jc w:val="both"/>
        <w:outlineLvl w:val="0"/>
        <w:rPr>
          <w:rFonts w:ascii="Times New Roman" w:hAnsi="Times New Roman"/>
          <w:color w:val="FF0000"/>
          <w:highlight w:val="yellow"/>
        </w:rPr>
      </w:pPr>
    </w:p>
    <w:p w14:paraId="7D3305EF" w14:textId="77777777" w:rsidR="00CB1607" w:rsidRPr="00235530" w:rsidRDefault="00CB1607" w:rsidP="00CB1607">
      <w:pPr>
        <w:spacing w:after="0" w:line="240" w:lineRule="auto"/>
        <w:jc w:val="both"/>
        <w:outlineLvl w:val="0"/>
        <w:rPr>
          <w:rFonts w:ascii="Times New Roman" w:hAnsi="Times New Roman"/>
        </w:rPr>
      </w:pPr>
      <w:bookmarkStart w:id="11" w:name="_Toc526419499"/>
      <w:r w:rsidRPr="00235530">
        <w:rPr>
          <w:rFonts w:ascii="Times New Roman" w:hAnsi="Times New Roman"/>
        </w:rPr>
        <w:lastRenderedPageBreak/>
        <w:t xml:space="preserve">Prema dostavljenim podacima od davatelja koncesije koji su prikazani u Tablici </w:t>
      </w:r>
      <w:r w:rsidR="00DD1D54">
        <w:rPr>
          <w:rFonts w:ascii="Times New Roman" w:hAnsi="Times New Roman"/>
        </w:rPr>
        <w:t>9</w:t>
      </w:r>
      <w:r w:rsidRPr="00235530">
        <w:rPr>
          <w:rFonts w:ascii="Times New Roman" w:hAnsi="Times New Roman"/>
        </w:rPr>
        <w:t>., najveći dio planiranih koncesija u 201</w:t>
      </w:r>
      <w:r w:rsidR="00644172">
        <w:rPr>
          <w:rFonts w:ascii="Times New Roman" w:hAnsi="Times New Roman"/>
        </w:rPr>
        <w:t>9</w:t>
      </w:r>
      <w:r w:rsidRPr="00235530">
        <w:rPr>
          <w:rFonts w:ascii="Times New Roman" w:hAnsi="Times New Roman"/>
        </w:rPr>
        <w:t xml:space="preserve">. godini odnosi se na koncesije </w:t>
      </w:r>
      <w:r w:rsidR="00644172">
        <w:rPr>
          <w:rFonts w:ascii="Times New Roman" w:hAnsi="Times New Roman"/>
        </w:rPr>
        <w:t>za komunalne djelatnosti</w:t>
      </w:r>
      <w:r w:rsidR="00FB382E">
        <w:rPr>
          <w:rFonts w:ascii="Times New Roman" w:hAnsi="Times New Roman"/>
        </w:rPr>
        <w:t xml:space="preserve"> (</w:t>
      </w:r>
      <w:r w:rsidR="00644172">
        <w:rPr>
          <w:rFonts w:ascii="Times New Roman" w:hAnsi="Times New Roman"/>
        </w:rPr>
        <w:t>135</w:t>
      </w:r>
      <w:r w:rsidR="00FB382E">
        <w:rPr>
          <w:rFonts w:ascii="Times New Roman" w:hAnsi="Times New Roman"/>
        </w:rPr>
        <w:t>)</w:t>
      </w:r>
      <w:r w:rsidR="00644172">
        <w:rPr>
          <w:rFonts w:ascii="Times New Roman" w:hAnsi="Times New Roman"/>
        </w:rPr>
        <w:t xml:space="preserve"> </w:t>
      </w:r>
      <w:r w:rsidR="00644172" w:rsidRPr="00644172">
        <w:rPr>
          <w:rFonts w:ascii="Times New Roman" w:hAnsi="Times New Roman"/>
        </w:rPr>
        <w:t>te na</w:t>
      </w:r>
      <w:r w:rsidR="00FB382E" w:rsidRPr="00644172">
        <w:rPr>
          <w:rFonts w:ascii="Times New Roman" w:hAnsi="Times New Roman"/>
        </w:rPr>
        <w:t xml:space="preserve"> </w:t>
      </w:r>
      <w:r w:rsidR="00644172" w:rsidRPr="00644172">
        <w:rPr>
          <w:rFonts w:ascii="Times New Roman" w:hAnsi="Times New Roman"/>
        </w:rPr>
        <w:t>pomorskom dobru (76)</w:t>
      </w:r>
      <w:r w:rsidR="003E39E9" w:rsidRPr="00235530">
        <w:rPr>
          <w:rFonts w:ascii="Times New Roman" w:hAnsi="Times New Roman"/>
        </w:rPr>
        <w:t>.</w:t>
      </w:r>
      <w:r w:rsidR="00644172">
        <w:rPr>
          <w:rFonts w:ascii="Times New Roman" w:hAnsi="Times New Roman"/>
        </w:rPr>
        <w:t xml:space="preserve"> Nadalje, </w:t>
      </w:r>
      <w:r w:rsidR="003C2951">
        <w:rPr>
          <w:rFonts w:ascii="Times New Roman" w:hAnsi="Times New Roman"/>
        </w:rPr>
        <w:t>planirano je</w:t>
      </w:r>
      <w:r w:rsidRPr="00235530">
        <w:rPr>
          <w:rFonts w:ascii="Times New Roman" w:hAnsi="Times New Roman"/>
        </w:rPr>
        <w:t xml:space="preserve"> </w:t>
      </w:r>
      <w:r w:rsidR="003C2951">
        <w:rPr>
          <w:rFonts w:ascii="Times New Roman" w:hAnsi="Times New Roman"/>
        </w:rPr>
        <w:t>169</w:t>
      </w:r>
      <w:r w:rsidR="00644172">
        <w:rPr>
          <w:rFonts w:ascii="Times New Roman" w:hAnsi="Times New Roman"/>
        </w:rPr>
        <w:t xml:space="preserve"> koncesije</w:t>
      </w:r>
      <w:r w:rsidR="003E39E9" w:rsidRPr="00235530">
        <w:rPr>
          <w:rFonts w:ascii="Times New Roman" w:hAnsi="Times New Roman"/>
        </w:rPr>
        <w:t xml:space="preserve"> iz područja </w:t>
      </w:r>
      <w:r w:rsidR="00644172">
        <w:rPr>
          <w:rFonts w:ascii="Times New Roman" w:hAnsi="Times New Roman"/>
        </w:rPr>
        <w:t>lučkih uprava</w:t>
      </w:r>
      <w:r w:rsidR="00DD1D54">
        <w:rPr>
          <w:rFonts w:ascii="Times New Roman" w:hAnsi="Times New Roman"/>
        </w:rPr>
        <w:t xml:space="preserve">, </w:t>
      </w:r>
      <w:r w:rsidR="00866F67">
        <w:rPr>
          <w:rFonts w:ascii="Times New Roman" w:hAnsi="Times New Roman"/>
        </w:rPr>
        <w:t>44</w:t>
      </w:r>
      <w:r w:rsidR="003E39E9" w:rsidRPr="00235530">
        <w:rPr>
          <w:rFonts w:ascii="Times New Roman" w:hAnsi="Times New Roman"/>
        </w:rPr>
        <w:t xml:space="preserve"> koncesije iz područja </w:t>
      </w:r>
      <w:r w:rsidR="00FB382E">
        <w:rPr>
          <w:rFonts w:ascii="Times New Roman" w:hAnsi="Times New Roman"/>
        </w:rPr>
        <w:t>rudarstva</w:t>
      </w:r>
      <w:r w:rsidR="003E32D8">
        <w:rPr>
          <w:rFonts w:ascii="Times New Roman" w:hAnsi="Times New Roman"/>
        </w:rPr>
        <w:t xml:space="preserve"> </w:t>
      </w:r>
      <w:r w:rsidR="00866F67">
        <w:rPr>
          <w:rFonts w:ascii="Times New Roman" w:hAnsi="Times New Roman"/>
        </w:rPr>
        <w:t>, 26 koncesija iz područja energetike-</w:t>
      </w:r>
      <w:r w:rsidR="003E32D8">
        <w:rPr>
          <w:rFonts w:ascii="Times New Roman" w:hAnsi="Times New Roman"/>
        </w:rPr>
        <w:t>ugljikovodika</w:t>
      </w:r>
      <w:r w:rsidRPr="00235530">
        <w:rPr>
          <w:rFonts w:ascii="Times New Roman" w:hAnsi="Times New Roman"/>
        </w:rPr>
        <w:t xml:space="preserve">, </w:t>
      </w:r>
      <w:r w:rsidR="003E32D8">
        <w:rPr>
          <w:rFonts w:ascii="Times New Roman" w:hAnsi="Times New Roman"/>
        </w:rPr>
        <w:t>7</w:t>
      </w:r>
      <w:r w:rsidRPr="00235530">
        <w:rPr>
          <w:rFonts w:ascii="Times New Roman" w:hAnsi="Times New Roman"/>
        </w:rPr>
        <w:t xml:space="preserve"> koncesija </w:t>
      </w:r>
      <w:r w:rsidR="003E39E9" w:rsidRPr="00235530">
        <w:rPr>
          <w:rFonts w:ascii="Times New Roman" w:hAnsi="Times New Roman"/>
        </w:rPr>
        <w:t xml:space="preserve">iz područja </w:t>
      </w:r>
      <w:r w:rsidR="003E32D8">
        <w:rPr>
          <w:rFonts w:ascii="Times New Roman" w:hAnsi="Times New Roman"/>
        </w:rPr>
        <w:t>javnog prijevoza te 5 koncesija iz područja radi</w:t>
      </w:r>
      <w:r w:rsidR="003C2951">
        <w:rPr>
          <w:rFonts w:ascii="Times New Roman" w:hAnsi="Times New Roman"/>
        </w:rPr>
        <w:t>j</w:t>
      </w:r>
      <w:r w:rsidR="003E32D8">
        <w:rPr>
          <w:rFonts w:ascii="Times New Roman" w:hAnsi="Times New Roman"/>
        </w:rPr>
        <w:t>a i televizi</w:t>
      </w:r>
      <w:bookmarkEnd w:id="11"/>
      <w:r w:rsidR="003E32D8">
        <w:rPr>
          <w:rFonts w:ascii="Times New Roman" w:hAnsi="Times New Roman"/>
        </w:rPr>
        <w:t>je.</w:t>
      </w:r>
    </w:p>
    <w:p w14:paraId="7D3305F0" w14:textId="77777777" w:rsidR="00CB1607" w:rsidRPr="00235530" w:rsidRDefault="00CB1607" w:rsidP="00CB1607">
      <w:pPr>
        <w:spacing w:after="0" w:line="240" w:lineRule="auto"/>
        <w:jc w:val="both"/>
        <w:outlineLvl w:val="0"/>
        <w:rPr>
          <w:rFonts w:ascii="Times New Roman" w:hAnsi="Times New Roman"/>
        </w:rPr>
      </w:pPr>
    </w:p>
    <w:p w14:paraId="7D3305F1" w14:textId="77777777" w:rsidR="00CB1607" w:rsidRPr="00235530" w:rsidRDefault="00CB1607" w:rsidP="00CB1607">
      <w:pPr>
        <w:spacing w:after="0" w:line="240" w:lineRule="auto"/>
        <w:jc w:val="both"/>
        <w:outlineLvl w:val="0"/>
        <w:rPr>
          <w:rFonts w:ascii="Times New Roman" w:hAnsi="Times New Roman"/>
        </w:rPr>
      </w:pPr>
      <w:bookmarkStart w:id="12" w:name="_Toc526419500"/>
      <w:r w:rsidRPr="003C2951">
        <w:rPr>
          <w:rFonts w:ascii="Times New Roman" w:hAnsi="Times New Roman"/>
        </w:rPr>
        <w:t>Prema podacima iz Registra koncesija, a sukladno podacima dostavljenim od davatelja koncesija tijekom 201</w:t>
      </w:r>
      <w:r w:rsidR="003E32D8" w:rsidRPr="003C2951">
        <w:rPr>
          <w:rFonts w:ascii="Times New Roman" w:hAnsi="Times New Roman"/>
        </w:rPr>
        <w:t>9</w:t>
      </w:r>
      <w:r w:rsidRPr="003C2951">
        <w:rPr>
          <w:rFonts w:ascii="Times New Roman" w:hAnsi="Times New Roman"/>
        </w:rPr>
        <w:t xml:space="preserve">. godine sklopljeno je </w:t>
      </w:r>
      <w:r w:rsidR="00866F67">
        <w:rPr>
          <w:rFonts w:ascii="Times New Roman" w:hAnsi="Times New Roman"/>
        </w:rPr>
        <w:t>93</w:t>
      </w:r>
      <w:r w:rsidR="00F847C5">
        <w:rPr>
          <w:rFonts w:ascii="Times New Roman" w:hAnsi="Times New Roman"/>
        </w:rPr>
        <w:t>6</w:t>
      </w:r>
      <w:r w:rsidRPr="003C2951">
        <w:rPr>
          <w:rFonts w:ascii="Times New Roman" w:hAnsi="Times New Roman"/>
        </w:rPr>
        <w:t xml:space="preserve">  ugovora o koncesiji, odnosno </w:t>
      </w:r>
      <w:r w:rsidR="00866F67">
        <w:rPr>
          <w:rFonts w:ascii="Times New Roman" w:hAnsi="Times New Roman"/>
        </w:rPr>
        <w:t>267</w:t>
      </w:r>
      <w:r w:rsidRPr="003C2951">
        <w:rPr>
          <w:rFonts w:ascii="Times New Roman" w:hAnsi="Times New Roman"/>
        </w:rPr>
        <w:t xml:space="preserve"> posto </w:t>
      </w:r>
      <w:r w:rsidR="003E39E9" w:rsidRPr="003C2951">
        <w:rPr>
          <w:rFonts w:ascii="Times New Roman" w:hAnsi="Times New Roman"/>
        </w:rPr>
        <w:t xml:space="preserve">više </w:t>
      </w:r>
      <w:r w:rsidRPr="003C2951">
        <w:rPr>
          <w:rFonts w:ascii="Times New Roman" w:hAnsi="Times New Roman"/>
        </w:rPr>
        <w:t>od planiranog broja koncesija.</w:t>
      </w:r>
      <w:r w:rsidRPr="00235530">
        <w:rPr>
          <w:rFonts w:ascii="Times New Roman" w:hAnsi="Times New Roman"/>
        </w:rPr>
        <w:t xml:space="preserve"> </w:t>
      </w:r>
      <w:bookmarkEnd w:id="12"/>
    </w:p>
    <w:p w14:paraId="7D3305F2" w14:textId="77777777" w:rsidR="00D11813" w:rsidRPr="00235530" w:rsidRDefault="00D11813" w:rsidP="00CB1607">
      <w:pPr>
        <w:spacing w:after="0" w:line="240" w:lineRule="auto"/>
        <w:jc w:val="both"/>
        <w:outlineLvl w:val="0"/>
        <w:rPr>
          <w:rFonts w:ascii="Times New Roman" w:hAnsi="Times New Roman"/>
        </w:rPr>
      </w:pPr>
    </w:p>
    <w:p w14:paraId="7D3305F3" w14:textId="77777777" w:rsidR="00CB1607" w:rsidRPr="00235530" w:rsidRDefault="00CB1607" w:rsidP="00CB1607">
      <w:pPr>
        <w:spacing w:after="0" w:line="240" w:lineRule="auto"/>
        <w:jc w:val="both"/>
        <w:outlineLvl w:val="0"/>
        <w:rPr>
          <w:rFonts w:ascii="Times New Roman" w:hAnsi="Times New Roman"/>
        </w:rPr>
      </w:pPr>
      <w:bookmarkStart w:id="13" w:name="_Toc526419501"/>
      <w:r w:rsidRPr="00235530">
        <w:rPr>
          <w:rFonts w:ascii="Times New Roman" w:hAnsi="Times New Roman"/>
        </w:rPr>
        <w:t>Obzirom na odstupanja plana u odnosu na ostvareni broj sklopljenih ugovora, mogu se posebno istaknuti najčešći razlozi odstupanja kao što su lokalni izbori, nezainteresiranost  koncesionara, izmjena zakonskih propisa, nedovoljan broj stručnog osoblja koje bi pripremilo dokumentaciju za nadmetanje, dugotrajnost postupka davanja koncesija, žalbeni postupci, te osnivanje  trgovačkih društva (u 100% vlasništvu) koja se bave komunalnom djelatnosti, ili suvlasništvo JLPRS-a u trgovačkim društvima i slično.</w:t>
      </w:r>
      <w:bookmarkEnd w:id="13"/>
    </w:p>
    <w:p w14:paraId="7D3305F4" w14:textId="77777777" w:rsidR="009646A8" w:rsidRPr="00235530" w:rsidRDefault="009646A8" w:rsidP="00995044">
      <w:pPr>
        <w:spacing w:after="0" w:line="240" w:lineRule="auto"/>
        <w:jc w:val="both"/>
        <w:rPr>
          <w:rFonts w:ascii="Times New Roman" w:hAnsi="Times New Roman"/>
          <w:b/>
          <w:bCs/>
          <w:lang w:eastAsia="hr-HR"/>
        </w:rPr>
      </w:pPr>
    </w:p>
    <w:p w14:paraId="7D3305F5" w14:textId="77777777" w:rsidR="00911414" w:rsidRPr="00730369" w:rsidRDefault="00911414" w:rsidP="00793CAE">
      <w:pPr>
        <w:spacing w:after="0" w:line="240" w:lineRule="auto"/>
        <w:jc w:val="both"/>
        <w:rPr>
          <w:rFonts w:ascii="Times New Roman" w:hAnsi="Times New Roman"/>
          <w:b/>
          <w:iCs/>
          <w:lang w:eastAsia="hr-HR"/>
        </w:rPr>
      </w:pPr>
      <w:r w:rsidRPr="001E7F11">
        <w:rPr>
          <w:rFonts w:ascii="Times New Roman" w:hAnsi="Times New Roman"/>
          <w:b/>
          <w:iCs/>
          <w:lang w:eastAsia="hr-HR"/>
        </w:rPr>
        <w:t>4.4. Koncesije na zahtjev</w:t>
      </w:r>
    </w:p>
    <w:p w14:paraId="7D3305F6" w14:textId="77777777" w:rsidR="00911414" w:rsidRPr="00730369" w:rsidRDefault="00911414" w:rsidP="00793CAE">
      <w:pPr>
        <w:spacing w:after="0" w:line="240" w:lineRule="auto"/>
        <w:jc w:val="both"/>
        <w:rPr>
          <w:rFonts w:ascii="Times New Roman" w:hAnsi="Times New Roman"/>
          <w:b/>
          <w:iCs/>
          <w:lang w:eastAsia="hr-HR"/>
        </w:rPr>
      </w:pPr>
    </w:p>
    <w:p w14:paraId="7D3305F7" w14:textId="77777777" w:rsidR="00911414" w:rsidRPr="00730369" w:rsidRDefault="00911414" w:rsidP="00793CAE">
      <w:pPr>
        <w:spacing w:after="0" w:line="240" w:lineRule="auto"/>
        <w:jc w:val="both"/>
        <w:rPr>
          <w:rFonts w:ascii="Times New Roman" w:hAnsi="Times New Roman"/>
          <w:iCs/>
          <w:lang w:eastAsia="hr-HR"/>
        </w:rPr>
      </w:pPr>
      <w:r w:rsidRPr="00730369">
        <w:rPr>
          <w:rFonts w:ascii="Times New Roman" w:hAnsi="Times New Roman"/>
          <w:iCs/>
          <w:lang w:eastAsia="hr-HR"/>
        </w:rPr>
        <w:t xml:space="preserve">Zakonom o koncesijama propisano je da se koncesija za gospodarsko korištenje općeg ili drugog dobra može iznimno dati </w:t>
      </w:r>
      <w:r w:rsidRPr="00730369">
        <w:rPr>
          <w:rFonts w:ascii="Times New Roman" w:hAnsi="Times New Roman"/>
          <w:b/>
          <w:iCs/>
          <w:lang w:eastAsia="hr-HR"/>
        </w:rPr>
        <w:t>neposredno na zahtjev</w:t>
      </w:r>
      <w:r w:rsidRPr="00730369">
        <w:rPr>
          <w:rFonts w:ascii="Times New Roman" w:hAnsi="Times New Roman"/>
          <w:iCs/>
          <w:lang w:eastAsia="hr-HR"/>
        </w:rPr>
        <w:t xml:space="preserve"> gospodarskog subjekta:</w:t>
      </w:r>
    </w:p>
    <w:p w14:paraId="7D3305F8" w14:textId="77777777" w:rsidR="00911414" w:rsidRPr="00730369" w:rsidRDefault="00911414" w:rsidP="00793CAE">
      <w:pPr>
        <w:spacing w:after="0" w:line="240" w:lineRule="auto"/>
        <w:jc w:val="both"/>
        <w:rPr>
          <w:rFonts w:ascii="Times New Roman" w:hAnsi="Times New Roman"/>
          <w:iCs/>
          <w:lang w:eastAsia="hr-HR"/>
        </w:rPr>
      </w:pPr>
    </w:p>
    <w:p w14:paraId="7D3305F9" w14:textId="77777777" w:rsidR="00911414" w:rsidRPr="00730369" w:rsidRDefault="00911414" w:rsidP="001026EA">
      <w:pPr>
        <w:pStyle w:val="t-9-8"/>
        <w:spacing w:before="0" w:beforeAutospacing="0" w:after="0" w:afterAutospacing="0"/>
        <w:ind w:left="900" w:hanging="180"/>
        <w:jc w:val="both"/>
        <w:rPr>
          <w:iCs/>
          <w:color w:val="000000"/>
          <w:sz w:val="22"/>
          <w:szCs w:val="22"/>
        </w:rPr>
      </w:pPr>
      <w:r w:rsidRPr="00730369">
        <w:rPr>
          <w:iCs/>
          <w:color w:val="000000"/>
          <w:sz w:val="22"/>
          <w:szCs w:val="22"/>
        </w:rPr>
        <w:t>– kada mu je to nužno radi provedbe ugovora o koncesiji za javne radove ili koncesije za javne usluge,</w:t>
      </w:r>
    </w:p>
    <w:p w14:paraId="7D3305FA" w14:textId="77777777" w:rsidR="00911414" w:rsidRPr="00730369" w:rsidRDefault="00911414" w:rsidP="001026EA">
      <w:pPr>
        <w:pStyle w:val="t-9-8"/>
        <w:spacing w:before="0" w:beforeAutospacing="0" w:after="0" w:afterAutospacing="0"/>
        <w:ind w:left="900" w:hanging="180"/>
        <w:jc w:val="both"/>
        <w:rPr>
          <w:iCs/>
          <w:color w:val="000000"/>
          <w:sz w:val="22"/>
          <w:szCs w:val="22"/>
        </w:rPr>
      </w:pPr>
      <w:r w:rsidRPr="00730369">
        <w:rPr>
          <w:iCs/>
          <w:color w:val="000000"/>
          <w:sz w:val="22"/>
          <w:szCs w:val="22"/>
        </w:rPr>
        <w:t>– kada je to gospodarskom subjektu, koji je već potpisao ugovor o koncesiji za istraživanje mineralnih sirovina, nužno radi sklapanja ugovora o koncesiji za eksploataciju mineralnih sirovina koje su bile predmet istraživanja, a u skladu s odredbama propisa koji uređuju istraživanje i eksploataciju mineralnih sirovina,</w:t>
      </w:r>
    </w:p>
    <w:p w14:paraId="7D3305FB" w14:textId="77777777" w:rsidR="00911414" w:rsidRPr="00730369" w:rsidRDefault="00911414" w:rsidP="001026EA">
      <w:pPr>
        <w:pStyle w:val="t-9-8"/>
        <w:spacing w:before="0" w:beforeAutospacing="0" w:after="0" w:afterAutospacing="0"/>
        <w:ind w:left="900" w:hanging="180"/>
        <w:jc w:val="both"/>
        <w:rPr>
          <w:iCs/>
          <w:color w:val="000000"/>
          <w:sz w:val="22"/>
          <w:szCs w:val="22"/>
        </w:rPr>
      </w:pPr>
      <w:r w:rsidRPr="00730369">
        <w:rPr>
          <w:iCs/>
          <w:color w:val="000000"/>
          <w:sz w:val="22"/>
          <w:szCs w:val="22"/>
        </w:rPr>
        <w:t>– ako postojeća i/ili planirana gospodarska aktivnost gospodarskog subjekta na određenoj lokaciji čini s predmetom koncesije za koju se zahtjev podnosi, neodvojivu tehnološku ili funkcionalnu cjelinu, te koncesija služi isključivo za obavljanje te gospodarske aktivnosti, a osobito kada je predmet koncesije korištenje voda za tehnološke potrebe i navodnjavanje,</w:t>
      </w:r>
    </w:p>
    <w:p w14:paraId="7D3305FC" w14:textId="77777777" w:rsidR="00911414" w:rsidRPr="00730369" w:rsidRDefault="00911414" w:rsidP="001026EA">
      <w:pPr>
        <w:pStyle w:val="t-9-8"/>
        <w:spacing w:before="0" w:beforeAutospacing="0" w:after="0" w:afterAutospacing="0"/>
        <w:ind w:left="900" w:hanging="180"/>
        <w:jc w:val="both"/>
        <w:rPr>
          <w:iCs/>
          <w:color w:val="000000"/>
          <w:sz w:val="22"/>
          <w:szCs w:val="22"/>
        </w:rPr>
      </w:pPr>
      <w:r w:rsidRPr="00730369">
        <w:rPr>
          <w:sz w:val="22"/>
          <w:szCs w:val="22"/>
        </w:rPr>
        <w:t>– kad je to potrebno ovlašteniku prava na radove sanacije koji se obavljaju na pomorskom dobru, a na temelju posebnog propisa.</w:t>
      </w:r>
    </w:p>
    <w:p w14:paraId="7D3305FD" w14:textId="77777777" w:rsidR="00911414" w:rsidRPr="00730369" w:rsidRDefault="00911414" w:rsidP="001026EA">
      <w:pPr>
        <w:spacing w:after="0" w:line="240" w:lineRule="auto"/>
        <w:jc w:val="both"/>
        <w:rPr>
          <w:rFonts w:ascii="Times New Roman" w:hAnsi="Times New Roman"/>
          <w:iCs/>
          <w:color w:val="000000"/>
        </w:rPr>
      </w:pPr>
    </w:p>
    <w:p w14:paraId="7D3305FE" w14:textId="77777777" w:rsidR="00911414" w:rsidRPr="00730369" w:rsidRDefault="00911414" w:rsidP="00793CAE">
      <w:pPr>
        <w:spacing w:after="0" w:line="240" w:lineRule="auto"/>
        <w:jc w:val="both"/>
        <w:rPr>
          <w:rFonts w:ascii="Times New Roman" w:hAnsi="Times New Roman"/>
          <w:iCs/>
          <w:color w:val="000000"/>
        </w:rPr>
      </w:pPr>
      <w:r w:rsidRPr="00730369">
        <w:rPr>
          <w:rFonts w:ascii="Times New Roman" w:hAnsi="Times New Roman"/>
          <w:iCs/>
          <w:color w:val="000000"/>
        </w:rPr>
        <w:t xml:space="preserve">Važno je napomenuti kako se koncesija na zahtjev ne smije se dati s namjerom neopravdanog izbjegavanja primjene postupka davanja koncesije. Cilj ovoga modela je omogućiti davateljima koncesije (Ministarstvo </w:t>
      </w:r>
      <w:r w:rsidR="00F43091">
        <w:rPr>
          <w:rFonts w:ascii="Times New Roman" w:hAnsi="Times New Roman"/>
          <w:iCs/>
          <w:color w:val="000000"/>
        </w:rPr>
        <w:t>zaštite okoliš i energetike</w:t>
      </w:r>
      <w:r w:rsidRPr="00730369">
        <w:rPr>
          <w:rFonts w:ascii="Times New Roman" w:hAnsi="Times New Roman"/>
          <w:iCs/>
          <w:color w:val="000000"/>
        </w:rPr>
        <w:t>, Ministarstvo gospodarstva</w:t>
      </w:r>
      <w:r w:rsidR="00F43091">
        <w:rPr>
          <w:rFonts w:ascii="Times New Roman" w:hAnsi="Times New Roman"/>
          <w:iCs/>
          <w:color w:val="000000"/>
        </w:rPr>
        <w:t>, poduzetništva i obrta</w:t>
      </w:r>
      <w:r w:rsidRPr="00730369">
        <w:rPr>
          <w:rFonts w:ascii="Times New Roman" w:hAnsi="Times New Roman"/>
          <w:iCs/>
          <w:color w:val="000000"/>
        </w:rPr>
        <w:t>) brže i jednostavnije postupanje kod zahtijeva za davanjem koncesija za korištenje voda ili zemljišta za eksploataciju mineralnih sirovina  kada je budući koncesionar vlasnik zemljišne čestice na kojoj želi ob</w:t>
      </w:r>
      <w:r w:rsidR="000C750D">
        <w:rPr>
          <w:rFonts w:ascii="Times New Roman" w:hAnsi="Times New Roman"/>
          <w:iCs/>
          <w:color w:val="000000"/>
        </w:rPr>
        <w:t>avljati djelatnost koncesije.</w:t>
      </w:r>
    </w:p>
    <w:p w14:paraId="7D3305FF" w14:textId="77777777" w:rsidR="00E417D7" w:rsidRPr="00235530" w:rsidRDefault="00E417D7" w:rsidP="00793CAE">
      <w:pPr>
        <w:spacing w:after="0" w:line="240" w:lineRule="auto"/>
        <w:jc w:val="both"/>
        <w:rPr>
          <w:rFonts w:ascii="Times New Roman" w:hAnsi="Times New Roman"/>
          <w:iCs/>
          <w:color w:val="000000"/>
          <w:highlight w:val="yellow"/>
        </w:rPr>
      </w:pPr>
    </w:p>
    <w:p w14:paraId="7D330600" w14:textId="77777777" w:rsidR="00963C24" w:rsidRPr="00114A9F" w:rsidRDefault="00541149" w:rsidP="00793CAE">
      <w:pPr>
        <w:spacing w:after="0" w:line="240" w:lineRule="auto"/>
        <w:jc w:val="both"/>
        <w:rPr>
          <w:rFonts w:ascii="Times New Roman" w:hAnsi="Times New Roman"/>
          <w:iCs/>
          <w:lang w:eastAsia="hr-HR"/>
        </w:rPr>
      </w:pPr>
      <w:r>
        <w:rPr>
          <w:rFonts w:ascii="Times New Roman" w:hAnsi="Times New Roman"/>
          <w:iCs/>
          <w:lang w:eastAsia="hr-HR"/>
        </w:rPr>
        <w:t>Temeljem odredbi Zakona</w:t>
      </w:r>
      <w:r w:rsidR="00963C24" w:rsidRPr="00114A9F">
        <w:rPr>
          <w:rFonts w:ascii="Times New Roman" w:hAnsi="Times New Roman"/>
          <w:iCs/>
          <w:lang w:eastAsia="hr-HR"/>
        </w:rPr>
        <w:t xml:space="preserve"> o koncesijama davatelji koncesija dužni su utvrditi ispunjavaju li podnositelji zahtjeva sve uvjete propisane zakonom, te </w:t>
      </w:r>
      <w:r w:rsidR="00DD1D54">
        <w:rPr>
          <w:rFonts w:ascii="Times New Roman" w:hAnsi="Times New Roman"/>
          <w:iCs/>
          <w:lang w:eastAsia="hr-HR"/>
        </w:rPr>
        <w:t>o istome obavještavaju</w:t>
      </w:r>
      <w:r w:rsidR="002570BD" w:rsidRPr="00114A9F">
        <w:rPr>
          <w:rFonts w:ascii="Times New Roman" w:hAnsi="Times New Roman"/>
          <w:iCs/>
          <w:lang w:eastAsia="hr-HR"/>
        </w:rPr>
        <w:t xml:space="preserve"> Ministarstvo financija. Ministarstvo financija predmetne zahtjeve za koncesiju prima na znanje, odnosno po istima ne postupa.</w:t>
      </w:r>
    </w:p>
    <w:p w14:paraId="7D330601" w14:textId="77777777" w:rsidR="00963C24" w:rsidRPr="00114A9F" w:rsidRDefault="00963C24" w:rsidP="00793CAE">
      <w:pPr>
        <w:spacing w:after="0" w:line="240" w:lineRule="auto"/>
        <w:jc w:val="both"/>
        <w:rPr>
          <w:rFonts w:ascii="Times New Roman" w:hAnsi="Times New Roman"/>
          <w:iCs/>
          <w:lang w:eastAsia="hr-HR"/>
        </w:rPr>
      </w:pPr>
    </w:p>
    <w:p w14:paraId="7D330602" w14:textId="77777777" w:rsidR="00963C24" w:rsidRPr="00114A9F" w:rsidRDefault="00812DA0" w:rsidP="00793CAE">
      <w:pPr>
        <w:spacing w:after="0" w:line="240" w:lineRule="auto"/>
        <w:jc w:val="both"/>
        <w:rPr>
          <w:rFonts w:ascii="Times New Roman" w:hAnsi="Times New Roman"/>
          <w:iCs/>
          <w:lang w:eastAsia="hr-HR"/>
        </w:rPr>
      </w:pPr>
      <w:r w:rsidRPr="00812DA0">
        <w:rPr>
          <w:rFonts w:ascii="Times New Roman" w:hAnsi="Times New Roman"/>
          <w:iCs/>
          <w:lang w:eastAsia="hr-HR"/>
        </w:rPr>
        <w:t>T</w:t>
      </w:r>
      <w:r w:rsidR="00963C24" w:rsidRPr="00812DA0">
        <w:rPr>
          <w:rFonts w:ascii="Times New Roman" w:hAnsi="Times New Roman"/>
          <w:iCs/>
          <w:lang w:eastAsia="hr-HR"/>
        </w:rPr>
        <w:t>ijekom 201</w:t>
      </w:r>
      <w:r w:rsidR="00541149">
        <w:rPr>
          <w:rFonts w:ascii="Times New Roman" w:hAnsi="Times New Roman"/>
          <w:iCs/>
          <w:lang w:eastAsia="hr-HR"/>
        </w:rPr>
        <w:t>9</w:t>
      </w:r>
      <w:r w:rsidR="00963C24" w:rsidRPr="00812DA0">
        <w:rPr>
          <w:rFonts w:ascii="Times New Roman" w:hAnsi="Times New Roman"/>
          <w:iCs/>
          <w:lang w:eastAsia="hr-HR"/>
        </w:rPr>
        <w:t xml:space="preserve">. godine, </w:t>
      </w:r>
      <w:r w:rsidR="001E5EF5" w:rsidRPr="00812DA0">
        <w:rPr>
          <w:rFonts w:ascii="Times New Roman" w:hAnsi="Times New Roman"/>
          <w:iCs/>
          <w:lang w:eastAsia="hr-HR"/>
        </w:rPr>
        <w:t>zaprimlje</w:t>
      </w:r>
      <w:r w:rsidR="00541149">
        <w:rPr>
          <w:rFonts w:ascii="Times New Roman" w:hAnsi="Times New Roman"/>
          <w:iCs/>
          <w:lang w:eastAsia="hr-HR"/>
        </w:rPr>
        <w:t>na</w:t>
      </w:r>
      <w:r w:rsidR="001E5EF5" w:rsidRPr="00812DA0">
        <w:rPr>
          <w:rFonts w:ascii="Times New Roman" w:hAnsi="Times New Roman"/>
          <w:iCs/>
          <w:lang w:eastAsia="hr-HR"/>
        </w:rPr>
        <w:t xml:space="preserve"> </w:t>
      </w:r>
      <w:r w:rsidR="00541149">
        <w:rPr>
          <w:rFonts w:ascii="Times New Roman" w:hAnsi="Times New Roman"/>
          <w:iCs/>
          <w:lang w:eastAsia="hr-HR"/>
        </w:rPr>
        <w:t>je ukupno 51</w:t>
      </w:r>
      <w:r w:rsidR="001E5EF5" w:rsidRPr="00812DA0">
        <w:rPr>
          <w:rFonts w:ascii="Times New Roman" w:hAnsi="Times New Roman"/>
          <w:iCs/>
          <w:lang w:eastAsia="hr-HR"/>
        </w:rPr>
        <w:t xml:space="preserve"> </w:t>
      </w:r>
      <w:r w:rsidR="00541149">
        <w:rPr>
          <w:rFonts w:ascii="Times New Roman" w:hAnsi="Times New Roman"/>
          <w:iCs/>
          <w:lang w:eastAsia="hr-HR"/>
        </w:rPr>
        <w:t>obavijest</w:t>
      </w:r>
      <w:r w:rsidR="001E5EF5" w:rsidRPr="00812DA0">
        <w:rPr>
          <w:rFonts w:ascii="Times New Roman" w:hAnsi="Times New Roman"/>
          <w:iCs/>
          <w:lang w:eastAsia="hr-HR"/>
        </w:rPr>
        <w:t xml:space="preserve"> za koncesije na zahtjev, od čega se </w:t>
      </w:r>
      <w:r w:rsidR="00541149">
        <w:rPr>
          <w:rFonts w:ascii="Times New Roman" w:hAnsi="Times New Roman"/>
          <w:iCs/>
          <w:lang w:eastAsia="hr-HR"/>
        </w:rPr>
        <w:t>31</w:t>
      </w:r>
      <w:r w:rsidR="001E5EF5" w:rsidRPr="00812DA0">
        <w:rPr>
          <w:rFonts w:ascii="Times New Roman" w:hAnsi="Times New Roman"/>
          <w:iCs/>
          <w:lang w:eastAsia="hr-HR"/>
        </w:rPr>
        <w:t xml:space="preserve"> </w:t>
      </w:r>
      <w:r w:rsidRPr="00812DA0">
        <w:rPr>
          <w:rFonts w:ascii="Times New Roman" w:hAnsi="Times New Roman"/>
          <w:iCs/>
          <w:lang w:eastAsia="hr-HR"/>
        </w:rPr>
        <w:t>obavijesti</w:t>
      </w:r>
      <w:r w:rsidR="001E5EF5" w:rsidRPr="00812DA0">
        <w:rPr>
          <w:rFonts w:ascii="Times New Roman" w:hAnsi="Times New Roman"/>
          <w:iCs/>
          <w:lang w:eastAsia="hr-HR"/>
        </w:rPr>
        <w:t xml:space="preserve"> odnosi na područje rudarstva (</w:t>
      </w:r>
      <w:r w:rsidR="007F5746">
        <w:rPr>
          <w:rFonts w:ascii="Times New Roman" w:hAnsi="Times New Roman"/>
          <w:iCs/>
          <w:lang w:eastAsia="hr-HR"/>
        </w:rPr>
        <w:t>neenergetske mineralne sirovine</w:t>
      </w:r>
      <w:r w:rsidR="001E5EF5" w:rsidRPr="00812DA0">
        <w:rPr>
          <w:rFonts w:ascii="Times New Roman" w:hAnsi="Times New Roman"/>
          <w:iCs/>
          <w:lang w:eastAsia="hr-HR"/>
        </w:rPr>
        <w:t xml:space="preserve">), </w:t>
      </w:r>
      <w:r w:rsidR="00541149">
        <w:rPr>
          <w:rFonts w:ascii="Times New Roman" w:hAnsi="Times New Roman"/>
          <w:iCs/>
          <w:lang w:eastAsia="hr-HR"/>
        </w:rPr>
        <w:t>16</w:t>
      </w:r>
      <w:r w:rsidR="001E5EF5" w:rsidRPr="00812DA0">
        <w:rPr>
          <w:rFonts w:ascii="Times New Roman" w:hAnsi="Times New Roman"/>
          <w:iCs/>
          <w:lang w:eastAsia="hr-HR"/>
        </w:rPr>
        <w:t xml:space="preserve"> </w:t>
      </w:r>
      <w:r w:rsidRPr="00812DA0">
        <w:rPr>
          <w:rFonts w:ascii="Times New Roman" w:hAnsi="Times New Roman"/>
          <w:iCs/>
          <w:lang w:eastAsia="hr-HR"/>
        </w:rPr>
        <w:t xml:space="preserve">obavijesti koje </w:t>
      </w:r>
      <w:r w:rsidR="001E5EF5" w:rsidRPr="00812DA0">
        <w:rPr>
          <w:rFonts w:ascii="Times New Roman" w:hAnsi="Times New Roman"/>
          <w:iCs/>
          <w:lang w:eastAsia="hr-HR"/>
        </w:rPr>
        <w:t>se odnos</w:t>
      </w:r>
      <w:r w:rsidRPr="00812DA0">
        <w:rPr>
          <w:rFonts w:ascii="Times New Roman" w:hAnsi="Times New Roman"/>
          <w:iCs/>
          <w:lang w:eastAsia="hr-HR"/>
        </w:rPr>
        <w:t>e</w:t>
      </w:r>
      <w:r w:rsidR="001E5EF5" w:rsidRPr="00812DA0">
        <w:rPr>
          <w:rFonts w:ascii="Times New Roman" w:hAnsi="Times New Roman"/>
          <w:iCs/>
          <w:lang w:eastAsia="hr-HR"/>
        </w:rPr>
        <w:t xml:space="preserve"> na  vodno gospodarstvo, </w:t>
      </w:r>
      <w:r w:rsidRPr="00812DA0">
        <w:rPr>
          <w:rFonts w:ascii="Times New Roman" w:hAnsi="Times New Roman"/>
          <w:iCs/>
          <w:lang w:eastAsia="hr-HR"/>
        </w:rPr>
        <w:t>1</w:t>
      </w:r>
      <w:r w:rsidR="001E5EF5" w:rsidRPr="00812DA0">
        <w:rPr>
          <w:rFonts w:ascii="Times New Roman" w:hAnsi="Times New Roman"/>
          <w:iCs/>
          <w:lang w:eastAsia="hr-HR"/>
        </w:rPr>
        <w:t xml:space="preserve"> </w:t>
      </w:r>
      <w:r w:rsidRPr="00812DA0">
        <w:rPr>
          <w:rFonts w:ascii="Times New Roman" w:hAnsi="Times New Roman"/>
          <w:iCs/>
          <w:lang w:eastAsia="hr-HR"/>
        </w:rPr>
        <w:t>obavijest koje</w:t>
      </w:r>
      <w:r w:rsidR="001E5EF5" w:rsidRPr="00812DA0">
        <w:rPr>
          <w:rFonts w:ascii="Times New Roman" w:hAnsi="Times New Roman"/>
          <w:iCs/>
          <w:lang w:eastAsia="hr-HR"/>
        </w:rPr>
        <w:t xml:space="preserve"> se odnose na područje </w:t>
      </w:r>
      <w:r w:rsidRPr="00812DA0">
        <w:rPr>
          <w:rFonts w:ascii="Times New Roman" w:hAnsi="Times New Roman"/>
          <w:iCs/>
          <w:lang w:eastAsia="hr-HR"/>
        </w:rPr>
        <w:t xml:space="preserve">energetike (ugljikovodici), </w:t>
      </w:r>
      <w:r w:rsidR="00541149">
        <w:rPr>
          <w:rFonts w:ascii="Times New Roman" w:hAnsi="Times New Roman"/>
          <w:iCs/>
          <w:lang w:eastAsia="hr-HR"/>
        </w:rPr>
        <w:t>3</w:t>
      </w:r>
      <w:r w:rsidRPr="009646A8">
        <w:rPr>
          <w:rFonts w:ascii="Times New Roman" w:hAnsi="Times New Roman"/>
          <w:iCs/>
          <w:lang w:eastAsia="hr-HR"/>
        </w:rPr>
        <w:t xml:space="preserve"> obavijesti za koncesije na pomorskom dobru</w:t>
      </w:r>
      <w:r w:rsidR="001E5EF5" w:rsidRPr="00812DA0">
        <w:rPr>
          <w:rFonts w:ascii="Times New Roman" w:hAnsi="Times New Roman"/>
          <w:iCs/>
          <w:lang w:eastAsia="hr-HR"/>
        </w:rPr>
        <w:t>.</w:t>
      </w:r>
    </w:p>
    <w:p w14:paraId="7D330603" w14:textId="77777777" w:rsidR="009646A8" w:rsidRPr="00235530" w:rsidRDefault="009646A8" w:rsidP="005D6F71">
      <w:pPr>
        <w:spacing w:after="0" w:line="240" w:lineRule="auto"/>
        <w:jc w:val="both"/>
        <w:rPr>
          <w:rFonts w:ascii="Times New Roman" w:hAnsi="Times New Roman"/>
          <w:b/>
          <w:iCs/>
          <w:lang w:eastAsia="hr-HR"/>
        </w:rPr>
      </w:pPr>
    </w:p>
    <w:p w14:paraId="7D330604" w14:textId="77777777" w:rsidR="005D6F71" w:rsidRPr="00235530" w:rsidRDefault="005D6F71" w:rsidP="005D6F71">
      <w:pPr>
        <w:spacing w:after="0" w:line="240" w:lineRule="auto"/>
        <w:jc w:val="both"/>
        <w:rPr>
          <w:rFonts w:ascii="Times New Roman" w:hAnsi="Times New Roman"/>
          <w:b/>
          <w:iCs/>
          <w:lang w:eastAsia="hr-HR"/>
        </w:rPr>
      </w:pPr>
      <w:r w:rsidRPr="00235530">
        <w:rPr>
          <w:rFonts w:ascii="Times New Roman" w:hAnsi="Times New Roman"/>
          <w:b/>
          <w:iCs/>
          <w:lang w:eastAsia="hr-HR"/>
        </w:rPr>
        <w:t>4.</w:t>
      </w:r>
      <w:r w:rsidR="00A36E79">
        <w:rPr>
          <w:rFonts w:ascii="Times New Roman" w:hAnsi="Times New Roman"/>
          <w:b/>
          <w:iCs/>
          <w:lang w:eastAsia="hr-HR"/>
        </w:rPr>
        <w:t>5</w:t>
      </w:r>
      <w:r w:rsidRPr="00235530">
        <w:rPr>
          <w:rFonts w:ascii="Times New Roman" w:hAnsi="Times New Roman"/>
          <w:b/>
          <w:iCs/>
          <w:lang w:eastAsia="hr-HR"/>
        </w:rPr>
        <w:t>. Pravna zaštita u</w:t>
      </w:r>
      <w:r w:rsidR="00A36E79">
        <w:rPr>
          <w:rFonts w:ascii="Times New Roman" w:hAnsi="Times New Roman"/>
          <w:b/>
          <w:iCs/>
          <w:lang w:eastAsia="hr-HR"/>
        </w:rPr>
        <w:t xml:space="preserve"> području koncesija tijekom 201</w:t>
      </w:r>
      <w:r w:rsidR="00541149">
        <w:rPr>
          <w:rFonts w:ascii="Times New Roman" w:hAnsi="Times New Roman"/>
          <w:b/>
          <w:iCs/>
          <w:lang w:eastAsia="hr-HR"/>
        </w:rPr>
        <w:t>9</w:t>
      </w:r>
      <w:r w:rsidRPr="00235530">
        <w:rPr>
          <w:rFonts w:ascii="Times New Roman" w:hAnsi="Times New Roman"/>
          <w:b/>
          <w:iCs/>
          <w:lang w:eastAsia="hr-HR"/>
        </w:rPr>
        <w:t>. godin</w:t>
      </w:r>
      <w:r w:rsidR="0074340F">
        <w:rPr>
          <w:rFonts w:ascii="Times New Roman" w:hAnsi="Times New Roman"/>
          <w:b/>
          <w:iCs/>
          <w:lang w:eastAsia="hr-HR"/>
        </w:rPr>
        <w:t>e</w:t>
      </w:r>
    </w:p>
    <w:p w14:paraId="7D330605" w14:textId="77777777" w:rsidR="005D6F71" w:rsidRPr="00235530" w:rsidRDefault="005D6F71" w:rsidP="005D6F71">
      <w:pPr>
        <w:spacing w:after="0" w:line="240" w:lineRule="auto"/>
        <w:jc w:val="both"/>
        <w:rPr>
          <w:rFonts w:ascii="Times New Roman" w:hAnsi="Times New Roman"/>
          <w:iCs/>
          <w:lang w:eastAsia="hr-HR"/>
        </w:rPr>
      </w:pPr>
    </w:p>
    <w:p w14:paraId="7D330606" w14:textId="77777777" w:rsidR="005D6F71" w:rsidRPr="00235530" w:rsidRDefault="005D6F71" w:rsidP="005D6F71">
      <w:pPr>
        <w:spacing w:after="0" w:line="240" w:lineRule="auto"/>
        <w:jc w:val="both"/>
        <w:outlineLvl w:val="0"/>
        <w:rPr>
          <w:rFonts w:ascii="Times New Roman" w:hAnsi="Times New Roman"/>
        </w:rPr>
      </w:pPr>
      <w:bookmarkStart w:id="14" w:name="_Toc526419502"/>
      <w:r w:rsidRPr="00235530">
        <w:rPr>
          <w:rFonts w:ascii="Times New Roman" w:hAnsi="Times New Roman"/>
        </w:rPr>
        <w:t>Zakonom o koncesijama propisano je da je Državna komisija za kontrolu postupaka javne nabave nadležna za rješavanje o žalbama u vezi s postupcima davanja koncesija.</w:t>
      </w:r>
      <w:bookmarkEnd w:id="14"/>
    </w:p>
    <w:p w14:paraId="7D330607" w14:textId="77777777" w:rsidR="005D6F71" w:rsidRPr="00235530" w:rsidRDefault="005D6F71" w:rsidP="005D6F71">
      <w:pPr>
        <w:spacing w:after="0" w:line="240" w:lineRule="auto"/>
        <w:jc w:val="both"/>
        <w:outlineLvl w:val="0"/>
        <w:rPr>
          <w:rFonts w:ascii="Times New Roman" w:hAnsi="Times New Roman"/>
        </w:rPr>
      </w:pPr>
    </w:p>
    <w:p w14:paraId="7D330608" w14:textId="77777777" w:rsidR="005D6F71" w:rsidRDefault="00B04533" w:rsidP="005D6F71">
      <w:pPr>
        <w:spacing w:after="0" w:line="240" w:lineRule="auto"/>
        <w:jc w:val="both"/>
        <w:outlineLvl w:val="0"/>
        <w:rPr>
          <w:rFonts w:ascii="Times New Roman" w:hAnsi="Times New Roman"/>
        </w:rPr>
      </w:pPr>
      <w:r>
        <w:rPr>
          <w:rFonts w:ascii="Times New Roman" w:hAnsi="Times New Roman"/>
        </w:rPr>
        <w:t xml:space="preserve">Prema podacima Državne komisije za kontrolu postupaka javne nabave tijekom 2019. godine doneseno je 5 Odluka o odbijanju žalbe u području komunalnog gospodarstva (djelatnosti odvoza otpada i obavljanja dimnjačarske djelatnosti) i 4 Odluke o poništenju postupka (2 iz područja komunalne djelatnosti, 1 iz područja javnog prijevoza i 1 iz područja rudarstva). </w:t>
      </w:r>
    </w:p>
    <w:p w14:paraId="7D330609" w14:textId="77777777" w:rsidR="00B04533" w:rsidRDefault="00B04533" w:rsidP="005D6F71">
      <w:pPr>
        <w:spacing w:after="0" w:line="240" w:lineRule="auto"/>
        <w:jc w:val="both"/>
        <w:outlineLvl w:val="0"/>
        <w:rPr>
          <w:rFonts w:ascii="Times New Roman" w:hAnsi="Times New Roman"/>
        </w:rPr>
      </w:pPr>
    </w:p>
    <w:p w14:paraId="7D33060A" w14:textId="77777777" w:rsidR="00B04533" w:rsidRDefault="00B04533" w:rsidP="005D6F71">
      <w:pPr>
        <w:spacing w:after="0" w:line="240" w:lineRule="auto"/>
        <w:jc w:val="both"/>
        <w:outlineLvl w:val="0"/>
        <w:rPr>
          <w:rFonts w:ascii="Times New Roman" w:hAnsi="Times New Roman"/>
        </w:rPr>
      </w:pPr>
    </w:p>
    <w:p w14:paraId="7D33060B" w14:textId="77777777" w:rsidR="00B04533" w:rsidRDefault="00B04533" w:rsidP="005D6F71">
      <w:pPr>
        <w:spacing w:after="0" w:line="240" w:lineRule="auto"/>
        <w:jc w:val="both"/>
        <w:outlineLvl w:val="0"/>
        <w:rPr>
          <w:rFonts w:ascii="Times New Roman" w:hAnsi="Times New Roman"/>
        </w:rPr>
      </w:pPr>
    </w:p>
    <w:p w14:paraId="7D33060C" w14:textId="77777777" w:rsidR="00B04533" w:rsidRDefault="00B04533" w:rsidP="005D6F71">
      <w:pPr>
        <w:spacing w:after="0" w:line="240" w:lineRule="auto"/>
        <w:jc w:val="both"/>
        <w:outlineLvl w:val="0"/>
        <w:rPr>
          <w:rFonts w:ascii="Times New Roman" w:hAnsi="Times New Roman"/>
        </w:rPr>
      </w:pPr>
    </w:p>
    <w:p w14:paraId="7D33060D" w14:textId="77777777" w:rsidR="00B04533" w:rsidRDefault="00B04533" w:rsidP="005D6F71">
      <w:pPr>
        <w:spacing w:after="0" w:line="240" w:lineRule="auto"/>
        <w:jc w:val="both"/>
        <w:outlineLvl w:val="0"/>
        <w:rPr>
          <w:rFonts w:ascii="Times New Roman" w:hAnsi="Times New Roman"/>
        </w:rPr>
      </w:pPr>
    </w:p>
    <w:p w14:paraId="7D33060E" w14:textId="77777777" w:rsidR="00EC3106" w:rsidRDefault="00EC3106" w:rsidP="005D6F71">
      <w:pPr>
        <w:spacing w:after="0" w:line="240" w:lineRule="auto"/>
        <w:jc w:val="both"/>
        <w:outlineLvl w:val="0"/>
        <w:rPr>
          <w:rFonts w:ascii="Times New Roman" w:hAnsi="Times New Roman"/>
        </w:rPr>
      </w:pPr>
    </w:p>
    <w:p w14:paraId="7D33060F" w14:textId="77777777" w:rsidR="00EC3106" w:rsidRDefault="00EC3106" w:rsidP="005D6F71">
      <w:pPr>
        <w:spacing w:after="0" w:line="240" w:lineRule="auto"/>
        <w:jc w:val="both"/>
        <w:outlineLvl w:val="0"/>
        <w:rPr>
          <w:rFonts w:ascii="Times New Roman" w:hAnsi="Times New Roman"/>
        </w:rPr>
      </w:pPr>
    </w:p>
    <w:p w14:paraId="7D330610" w14:textId="77777777" w:rsidR="00EC3106" w:rsidRDefault="00EC3106" w:rsidP="005D6F71">
      <w:pPr>
        <w:spacing w:after="0" w:line="240" w:lineRule="auto"/>
        <w:jc w:val="both"/>
        <w:outlineLvl w:val="0"/>
        <w:rPr>
          <w:rFonts w:ascii="Times New Roman" w:hAnsi="Times New Roman"/>
        </w:rPr>
      </w:pPr>
    </w:p>
    <w:p w14:paraId="7D330611" w14:textId="77777777" w:rsidR="00B04533" w:rsidRDefault="00B04533" w:rsidP="005D6F71">
      <w:pPr>
        <w:spacing w:after="0" w:line="240" w:lineRule="auto"/>
        <w:jc w:val="both"/>
        <w:outlineLvl w:val="0"/>
        <w:rPr>
          <w:rFonts w:ascii="Times New Roman" w:hAnsi="Times New Roman"/>
        </w:rPr>
      </w:pPr>
    </w:p>
    <w:p w14:paraId="7D330612" w14:textId="77777777" w:rsidR="00B04533" w:rsidRDefault="00B04533" w:rsidP="005D6F71">
      <w:pPr>
        <w:spacing w:after="0" w:line="240" w:lineRule="auto"/>
        <w:jc w:val="both"/>
        <w:outlineLvl w:val="0"/>
        <w:rPr>
          <w:rFonts w:ascii="Times New Roman" w:hAnsi="Times New Roman"/>
        </w:rPr>
      </w:pPr>
    </w:p>
    <w:p w14:paraId="7D330613" w14:textId="77777777" w:rsidR="00B04533" w:rsidRDefault="00B04533" w:rsidP="005D6F71">
      <w:pPr>
        <w:spacing w:after="0" w:line="240" w:lineRule="auto"/>
        <w:jc w:val="both"/>
        <w:outlineLvl w:val="0"/>
        <w:rPr>
          <w:rFonts w:ascii="Times New Roman" w:hAnsi="Times New Roman"/>
        </w:rPr>
      </w:pPr>
    </w:p>
    <w:p w14:paraId="7D330614" w14:textId="77777777" w:rsidR="00B04533" w:rsidRDefault="00B04533" w:rsidP="005D6F71">
      <w:pPr>
        <w:spacing w:after="0" w:line="240" w:lineRule="auto"/>
        <w:jc w:val="both"/>
        <w:outlineLvl w:val="0"/>
        <w:rPr>
          <w:rFonts w:ascii="Times New Roman" w:hAnsi="Times New Roman"/>
        </w:rPr>
      </w:pPr>
    </w:p>
    <w:p w14:paraId="7D330615" w14:textId="77777777" w:rsidR="00B04533" w:rsidRPr="00235530" w:rsidRDefault="00B04533" w:rsidP="005D6F71">
      <w:pPr>
        <w:spacing w:after="0" w:line="240" w:lineRule="auto"/>
        <w:jc w:val="both"/>
        <w:outlineLvl w:val="0"/>
        <w:rPr>
          <w:rFonts w:ascii="Times New Roman" w:hAnsi="Times New Roman"/>
        </w:rPr>
      </w:pPr>
    </w:p>
    <w:p w14:paraId="7D330616" w14:textId="77777777" w:rsidR="00813ED4" w:rsidRPr="00EE68D9" w:rsidRDefault="00813ED4" w:rsidP="009F3108">
      <w:pPr>
        <w:pStyle w:val="Heading1"/>
        <w:rPr>
          <w:rStyle w:val="IntenseReference"/>
          <w:rFonts w:ascii="Times New Roman" w:hAnsi="Times New Roman" w:cs="Times New Roman"/>
          <w:b/>
          <w:color w:val="auto"/>
          <w:sz w:val="24"/>
          <w:szCs w:val="24"/>
        </w:rPr>
      </w:pPr>
      <w:bookmarkStart w:id="15" w:name="_Toc526419505"/>
      <w:r w:rsidRPr="00EE68D9">
        <w:rPr>
          <w:rStyle w:val="IntenseReference"/>
          <w:rFonts w:ascii="Times New Roman" w:hAnsi="Times New Roman" w:cs="Times New Roman"/>
          <w:b/>
          <w:color w:val="auto"/>
          <w:sz w:val="24"/>
          <w:szCs w:val="24"/>
        </w:rPr>
        <w:t xml:space="preserve">5. </w:t>
      </w:r>
      <w:r w:rsidR="00360E59" w:rsidRPr="00EE68D9">
        <w:rPr>
          <w:rStyle w:val="IntenseReference"/>
          <w:rFonts w:ascii="Times New Roman" w:hAnsi="Times New Roman" w:cs="Times New Roman"/>
          <w:b/>
          <w:color w:val="auto"/>
          <w:sz w:val="24"/>
          <w:szCs w:val="24"/>
        </w:rPr>
        <w:t>DUGOVANJA EVIDENTIRANA U REGISTRU KONCESIJA</w:t>
      </w:r>
      <w:bookmarkEnd w:id="15"/>
    </w:p>
    <w:p w14:paraId="7D330617" w14:textId="77777777" w:rsidR="00360E59" w:rsidRPr="00235530" w:rsidRDefault="00360E59" w:rsidP="00813ED4">
      <w:pPr>
        <w:spacing w:after="0" w:line="240" w:lineRule="auto"/>
        <w:jc w:val="both"/>
        <w:rPr>
          <w:rFonts w:ascii="Times New Roman" w:hAnsi="Times New Roman"/>
          <w:b/>
          <w:bCs/>
          <w:lang w:eastAsia="hr-HR"/>
        </w:rPr>
      </w:pPr>
    </w:p>
    <w:p w14:paraId="7D330618" w14:textId="77777777" w:rsidR="00301FB9" w:rsidRPr="00301FB9" w:rsidRDefault="00080A3C" w:rsidP="00301FB9">
      <w:pPr>
        <w:spacing w:after="0" w:line="240" w:lineRule="auto"/>
        <w:jc w:val="both"/>
        <w:rPr>
          <w:rFonts w:ascii="Times New Roman" w:hAnsi="Times New Roman"/>
        </w:rPr>
      </w:pPr>
      <w:r w:rsidRPr="00235530">
        <w:rPr>
          <w:rFonts w:ascii="Times New Roman" w:eastAsia="Times New Roman" w:hAnsi="Times New Roman"/>
          <w:lang w:eastAsia="hr-HR"/>
        </w:rPr>
        <w:t>Uvidom u Registar konce</w:t>
      </w:r>
      <w:r w:rsidR="007715A0" w:rsidRPr="00235530">
        <w:rPr>
          <w:rFonts w:ascii="Times New Roman" w:eastAsia="Times New Roman" w:hAnsi="Times New Roman"/>
          <w:lang w:eastAsia="hr-HR"/>
        </w:rPr>
        <w:t>sija omogućeno je praćenje</w:t>
      </w:r>
      <w:r w:rsidRPr="00235530">
        <w:rPr>
          <w:rFonts w:ascii="Times New Roman" w:eastAsia="Times New Roman" w:hAnsi="Times New Roman"/>
          <w:lang w:eastAsia="hr-HR"/>
        </w:rPr>
        <w:t xml:space="preserve"> dužnika i stanje duga po dospjelim nepodmirenim obvezama za koncesije. </w:t>
      </w:r>
      <w:r w:rsidR="00301FB9" w:rsidRPr="00301FB9">
        <w:rPr>
          <w:rFonts w:ascii="Times New Roman" w:hAnsi="Times New Roman"/>
        </w:rPr>
        <w:t>Ukupan iznos dugovanja na dan 31.12.201</w:t>
      </w:r>
      <w:r w:rsidR="00DB6301">
        <w:rPr>
          <w:rFonts w:ascii="Times New Roman" w:hAnsi="Times New Roman"/>
        </w:rPr>
        <w:t>9</w:t>
      </w:r>
      <w:r w:rsidR="00301FB9" w:rsidRPr="00301FB9">
        <w:rPr>
          <w:rFonts w:ascii="Times New Roman" w:hAnsi="Times New Roman"/>
        </w:rPr>
        <w:t xml:space="preserve">. godine iznosio je </w:t>
      </w:r>
      <w:r w:rsidR="006C4324">
        <w:rPr>
          <w:rFonts w:ascii="Times New Roman" w:hAnsi="Times New Roman"/>
        </w:rPr>
        <w:t>131,0</w:t>
      </w:r>
      <w:r w:rsidR="00301FB9" w:rsidRPr="00301FB9">
        <w:rPr>
          <w:rFonts w:ascii="Times New Roman" w:hAnsi="Times New Roman"/>
        </w:rPr>
        <w:t xml:space="preserve"> mln kuna i smanjen je za </w:t>
      </w:r>
      <w:r w:rsidR="006C4324">
        <w:rPr>
          <w:rFonts w:ascii="Times New Roman" w:hAnsi="Times New Roman"/>
        </w:rPr>
        <w:t>8,8</w:t>
      </w:r>
      <w:r w:rsidR="00301FB9" w:rsidRPr="00301FB9">
        <w:rPr>
          <w:rFonts w:ascii="Times New Roman" w:hAnsi="Times New Roman"/>
        </w:rPr>
        <w:t xml:space="preserve"> mln kuna u odnosu na isti dan 201</w:t>
      </w:r>
      <w:r w:rsidR="006C4324">
        <w:rPr>
          <w:rFonts w:ascii="Times New Roman" w:hAnsi="Times New Roman"/>
        </w:rPr>
        <w:t>8</w:t>
      </w:r>
      <w:r w:rsidR="00301FB9" w:rsidRPr="00301FB9">
        <w:rPr>
          <w:rFonts w:ascii="Times New Roman" w:hAnsi="Times New Roman"/>
        </w:rPr>
        <w:t xml:space="preserve">. godine, odnosno za </w:t>
      </w:r>
      <w:r w:rsidR="006C4324">
        <w:rPr>
          <w:rFonts w:ascii="Times New Roman" w:hAnsi="Times New Roman"/>
        </w:rPr>
        <w:t>6,3</w:t>
      </w:r>
      <w:r w:rsidR="00301FB9" w:rsidRPr="00301FB9">
        <w:rPr>
          <w:rFonts w:ascii="Times New Roman" w:hAnsi="Times New Roman"/>
        </w:rPr>
        <w:t xml:space="preserve"> posto.</w:t>
      </w:r>
    </w:p>
    <w:p w14:paraId="7D330619" w14:textId="77777777" w:rsidR="00360E59" w:rsidRPr="00235530" w:rsidRDefault="00360E59" w:rsidP="00813ED4">
      <w:pPr>
        <w:spacing w:after="0" w:line="240" w:lineRule="auto"/>
        <w:jc w:val="both"/>
        <w:rPr>
          <w:rFonts w:ascii="Times New Roman" w:hAnsi="Times New Roman"/>
          <w:b/>
          <w:bCs/>
          <w:lang w:eastAsia="hr-HR"/>
        </w:rPr>
      </w:pPr>
    </w:p>
    <w:p w14:paraId="7D33061A" w14:textId="77777777" w:rsidR="00080A3C" w:rsidRPr="00235530" w:rsidRDefault="00080A3C" w:rsidP="00080A3C">
      <w:pPr>
        <w:spacing w:after="0" w:line="240" w:lineRule="auto"/>
        <w:jc w:val="both"/>
        <w:rPr>
          <w:rFonts w:ascii="Times New Roman" w:eastAsia="Times New Roman" w:hAnsi="Times New Roman"/>
          <w:b/>
          <w:lang w:eastAsia="hr-HR"/>
        </w:rPr>
      </w:pPr>
      <w:r w:rsidRPr="00235530">
        <w:rPr>
          <w:rFonts w:ascii="Times New Roman" w:eastAsia="Times New Roman" w:hAnsi="Times New Roman"/>
          <w:b/>
          <w:lang w:eastAsia="hr-HR"/>
        </w:rPr>
        <w:t>5.1. Stanje na dan 31. prosinca 201</w:t>
      </w:r>
      <w:r w:rsidR="006C4324">
        <w:rPr>
          <w:rFonts w:ascii="Times New Roman" w:eastAsia="Times New Roman" w:hAnsi="Times New Roman"/>
          <w:b/>
          <w:lang w:eastAsia="hr-HR"/>
        </w:rPr>
        <w:t>9</w:t>
      </w:r>
      <w:r w:rsidRPr="00235530">
        <w:rPr>
          <w:rFonts w:ascii="Times New Roman" w:eastAsia="Times New Roman" w:hAnsi="Times New Roman"/>
          <w:b/>
          <w:lang w:eastAsia="hr-HR"/>
        </w:rPr>
        <w:t>. godine</w:t>
      </w:r>
    </w:p>
    <w:p w14:paraId="7D33061B" w14:textId="77777777" w:rsidR="00BF5999" w:rsidRPr="00235530" w:rsidRDefault="00BF5999" w:rsidP="00080A3C">
      <w:pPr>
        <w:spacing w:after="0" w:line="240" w:lineRule="auto"/>
        <w:jc w:val="both"/>
        <w:rPr>
          <w:rFonts w:ascii="Times New Roman" w:eastAsia="Times New Roman" w:hAnsi="Times New Roman"/>
          <w:b/>
          <w:lang w:eastAsia="hr-HR"/>
        </w:rPr>
      </w:pPr>
    </w:p>
    <w:p w14:paraId="7D33061C" w14:textId="77777777" w:rsidR="00080A3C" w:rsidRPr="00235530" w:rsidRDefault="00BF5999" w:rsidP="00080A3C">
      <w:pPr>
        <w:spacing w:after="0" w:line="240" w:lineRule="auto"/>
        <w:jc w:val="both"/>
        <w:rPr>
          <w:rFonts w:ascii="Times New Roman" w:eastAsia="Times New Roman" w:hAnsi="Times New Roman"/>
          <w:sz w:val="20"/>
          <w:szCs w:val="20"/>
          <w:lang w:eastAsia="hr-HR"/>
        </w:rPr>
      </w:pPr>
      <w:r w:rsidRPr="00235530">
        <w:rPr>
          <w:rFonts w:ascii="Times New Roman" w:eastAsia="Times New Roman" w:hAnsi="Times New Roman"/>
          <w:b/>
          <w:sz w:val="20"/>
          <w:szCs w:val="20"/>
          <w:lang w:eastAsia="hr-HR"/>
        </w:rPr>
        <w:t xml:space="preserve">Tablica </w:t>
      </w:r>
      <w:r w:rsidR="007C4C3A" w:rsidRPr="00235530">
        <w:rPr>
          <w:rFonts w:ascii="Times New Roman" w:eastAsia="Times New Roman" w:hAnsi="Times New Roman"/>
          <w:b/>
          <w:sz w:val="20"/>
          <w:szCs w:val="20"/>
          <w:lang w:eastAsia="hr-HR"/>
        </w:rPr>
        <w:t>1</w:t>
      </w:r>
      <w:r w:rsidR="00B04533">
        <w:rPr>
          <w:rFonts w:ascii="Times New Roman" w:eastAsia="Times New Roman" w:hAnsi="Times New Roman"/>
          <w:b/>
          <w:sz w:val="20"/>
          <w:szCs w:val="20"/>
          <w:lang w:eastAsia="hr-HR"/>
        </w:rPr>
        <w:t>0</w:t>
      </w:r>
      <w:r w:rsidRPr="00235530">
        <w:rPr>
          <w:rFonts w:ascii="Times New Roman" w:eastAsia="Times New Roman" w:hAnsi="Times New Roman"/>
          <w:b/>
          <w:sz w:val="20"/>
          <w:szCs w:val="20"/>
          <w:lang w:eastAsia="hr-HR"/>
        </w:rPr>
        <w:t>:</w:t>
      </w:r>
      <w:r w:rsidRPr="00235530">
        <w:rPr>
          <w:rFonts w:ascii="Times New Roman" w:eastAsia="Times New Roman" w:hAnsi="Times New Roman"/>
          <w:sz w:val="20"/>
          <w:szCs w:val="20"/>
          <w:lang w:eastAsia="hr-HR"/>
        </w:rPr>
        <w:t xml:space="preserve"> Iznos dugovanja prema davateljima koncesija na dan 31. prosinca 201</w:t>
      </w:r>
      <w:r w:rsidR="006C4324">
        <w:rPr>
          <w:rFonts w:ascii="Times New Roman" w:eastAsia="Times New Roman" w:hAnsi="Times New Roman"/>
          <w:sz w:val="20"/>
          <w:szCs w:val="20"/>
          <w:lang w:eastAsia="hr-HR"/>
        </w:rPr>
        <w:t>9</w:t>
      </w:r>
      <w:r w:rsidR="00455529">
        <w:rPr>
          <w:rFonts w:ascii="Times New Roman" w:eastAsia="Times New Roman" w:hAnsi="Times New Roman"/>
          <w:sz w:val="20"/>
          <w:szCs w:val="20"/>
          <w:lang w:eastAsia="hr-HR"/>
        </w:rPr>
        <w:t xml:space="preserve">. </w:t>
      </w:r>
      <w:r w:rsidR="00DF61AA">
        <w:rPr>
          <w:rFonts w:ascii="Times New Roman" w:eastAsia="Times New Roman" w:hAnsi="Times New Roman"/>
          <w:sz w:val="20"/>
          <w:szCs w:val="20"/>
          <w:lang w:eastAsia="hr-HR"/>
        </w:rPr>
        <w:t>godine</w:t>
      </w:r>
    </w:p>
    <w:p w14:paraId="7D33061D" w14:textId="77777777" w:rsidR="008D38C8" w:rsidRPr="00235530" w:rsidRDefault="006C4324" w:rsidP="00080A3C">
      <w:pPr>
        <w:spacing w:after="0" w:line="240" w:lineRule="auto"/>
        <w:jc w:val="both"/>
        <w:rPr>
          <w:rFonts w:ascii="Times New Roman" w:eastAsia="Times New Roman" w:hAnsi="Times New Roman"/>
          <w:lang w:eastAsia="hr-HR"/>
        </w:rPr>
      </w:pPr>
      <w:r w:rsidRPr="006C4324">
        <w:rPr>
          <w:noProof/>
          <w:lang w:eastAsia="hr-HR"/>
        </w:rPr>
        <w:drawing>
          <wp:inline distT="0" distB="0" distL="0" distR="0" wp14:anchorId="7D3306EA" wp14:editId="7D3306EB">
            <wp:extent cx="4565015" cy="1612900"/>
            <wp:effectExtent l="0" t="0" r="6985"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5015" cy="1612900"/>
                    </a:xfrm>
                    <a:prstGeom prst="rect">
                      <a:avLst/>
                    </a:prstGeom>
                    <a:noFill/>
                    <a:ln>
                      <a:noFill/>
                    </a:ln>
                  </pic:spPr>
                </pic:pic>
              </a:graphicData>
            </a:graphic>
          </wp:inline>
        </w:drawing>
      </w:r>
    </w:p>
    <w:p w14:paraId="7D33061E" w14:textId="77777777" w:rsidR="00BF5999" w:rsidRPr="00235530" w:rsidRDefault="00BF5999" w:rsidP="00BF5999">
      <w:pPr>
        <w:spacing w:after="0" w:line="240" w:lineRule="auto"/>
        <w:jc w:val="both"/>
        <w:rPr>
          <w:rFonts w:ascii="Times New Roman" w:hAnsi="Times New Roman"/>
          <w:b/>
          <w:sz w:val="18"/>
          <w:szCs w:val="18"/>
          <w:lang w:eastAsia="hr-HR"/>
        </w:rPr>
      </w:pPr>
      <w:r w:rsidRPr="00235530">
        <w:rPr>
          <w:rFonts w:ascii="Times New Roman" w:hAnsi="Times New Roman"/>
          <w:b/>
          <w:sz w:val="18"/>
          <w:szCs w:val="18"/>
          <w:lang w:eastAsia="hr-HR"/>
        </w:rPr>
        <w:t>Izvor</w:t>
      </w:r>
      <w:r w:rsidRPr="00235530">
        <w:rPr>
          <w:rFonts w:ascii="Times New Roman" w:hAnsi="Times New Roman"/>
          <w:bCs/>
          <w:sz w:val="18"/>
          <w:szCs w:val="18"/>
          <w:lang w:eastAsia="hr-HR"/>
        </w:rPr>
        <w:t>: Ministarstvo financija, Registar koncesija</w:t>
      </w:r>
    </w:p>
    <w:p w14:paraId="7D33061F" w14:textId="77777777" w:rsidR="00301FB9" w:rsidRDefault="00301FB9" w:rsidP="00301FB9">
      <w:pPr>
        <w:spacing w:after="0" w:line="240" w:lineRule="auto"/>
        <w:jc w:val="both"/>
        <w:rPr>
          <w:rFonts w:ascii="Times New Roman" w:hAnsi="Times New Roman"/>
        </w:rPr>
      </w:pPr>
    </w:p>
    <w:p w14:paraId="7D330620" w14:textId="77777777" w:rsidR="006C4324" w:rsidRDefault="006C4324" w:rsidP="00301FB9">
      <w:pPr>
        <w:spacing w:after="0" w:line="240" w:lineRule="auto"/>
        <w:jc w:val="both"/>
        <w:rPr>
          <w:rFonts w:ascii="Times New Roman" w:hAnsi="Times New Roman"/>
        </w:rPr>
      </w:pPr>
      <w:r>
        <w:rPr>
          <w:rFonts w:ascii="Times New Roman" w:hAnsi="Times New Roman"/>
        </w:rPr>
        <w:t>Ministarstvo mora, prometa i infrastrukture na promatrani dan bilježi dugovanje u iznosu od 26,3 mln kuna. Ovakav iznos duga generiran je od strane 5 društava čiji pojedinačni dug prelazi 1 mln kuna</w:t>
      </w:r>
      <w:r w:rsidR="00952B3F">
        <w:rPr>
          <w:rFonts w:ascii="Times New Roman" w:hAnsi="Times New Roman"/>
        </w:rPr>
        <w:t xml:space="preserve">, </w:t>
      </w:r>
      <w:r w:rsidR="00A308B7">
        <w:rPr>
          <w:rFonts w:ascii="Times New Roman" w:hAnsi="Times New Roman"/>
        </w:rPr>
        <w:t xml:space="preserve">a </w:t>
      </w:r>
      <w:r w:rsidR="0037172A">
        <w:rPr>
          <w:rFonts w:ascii="Times New Roman" w:hAnsi="Times New Roman"/>
        </w:rPr>
        <w:t>uglavnom</w:t>
      </w:r>
      <w:r w:rsidR="002A5DF2">
        <w:rPr>
          <w:rFonts w:ascii="Times New Roman" w:hAnsi="Times New Roman"/>
        </w:rPr>
        <w:t xml:space="preserve"> se </w:t>
      </w:r>
      <w:r w:rsidR="00952B3F">
        <w:rPr>
          <w:rFonts w:ascii="Times New Roman" w:hAnsi="Times New Roman"/>
        </w:rPr>
        <w:t>radi o društvima koja se nalaze u postupku stečaja ili predstečaja</w:t>
      </w:r>
      <w:r>
        <w:rPr>
          <w:rFonts w:ascii="Times New Roman" w:hAnsi="Times New Roman"/>
        </w:rPr>
        <w:t xml:space="preserve">. </w:t>
      </w:r>
    </w:p>
    <w:p w14:paraId="7D330621" w14:textId="77777777" w:rsidR="006C4324" w:rsidRDefault="006C4324" w:rsidP="00301FB9">
      <w:pPr>
        <w:spacing w:after="0" w:line="240" w:lineRule="auto"/>
        <w:jc w:val="both"/>
        <w:rPr>
          <w:rFonts w:ascii="Times New Roman" w:hAnsi="Times New Roman"/>
        </w:rPr>
      </w:pPr>
    </w:p>
    <w:p w14:paraId="7D330622" w14:textId="77777777" w:rsidR="007716E2" w:rsidRDefault="007716E2" w:rsidP="00301FB9">
      <w:pPr>
        <w:spacing w:after="0" w:line="240" w:lineRule="auto"/>
        <w:jc w:val="both"/>
        <w:rPr>
          <w:rFonts w:ascii="Times New Roman" w:hAnsi="Times New Roman"/>
        </w:rPr>
      </w:pPr>
      <w:r>
        <w:rPr>
          <w:rFonts w:ascii="Times New Roman" w:hAnsi="Times New Roman"/>
        </w:rPr>
        <w:lastRenderedPageBreak/>
        <w:t>Ministarstvo gospodarstva, poduzetništva i obrta na dan 31.12.201</w:t>
      </w:r>
      <w:r w:rsidR="006C4324">
        <w:rPr>
          <w:rFonts w:ascii="Times New Roman" w:hAnsi="Times New Roman"/>
        </w:rPr>
        <w:t>9</w:t>
      </w:r>
      <w:r>
        <w:rPr>
          <w:rFonts w:ascii="Times New Roman" w:hAnsi="Times New Roman"/>
        </w:rPr>
        <w:t xml:space="preserve">. godine imalo je evidentirano dugovanje u iznosu od </w:t>
      </w:r>
      <w:r w:rsidR="006C4324">
        <w:rPr>
          <w:rFonts w:ascii="Times New Roman" w:hAnsi="Times New Roman"/>
        </w:rPr>
        <w:t>22,5</w:t>
      </w:r>
      <w:r w:rsidR="00461877">
        <w:rPr>
          <w:rFonts w:ascii="Times New Roman" w:hAnsi="Times New Roman"/>
        </w:rPr>
        <w:t xml:space="preserve"> mln kuna.</w:t>
      </w:r>
      <w:r w:rsidR="00911E07">
        <w:rPr>
          <w:rFonts w:ascii="Times New Roman" w:hAnsi="Times New Roman"/>
        </w:rPr>
        <w:t xml:space="preserve"> Prema očitovanju resora predmetno dugovanje odnosi se uglavnom na dug trgovačkih društava koja su otišla u stečaj.</w:t>
      </w:r>
    </w:p>
    <w:p w14:paraId="7D330623" w14:textId="77777777" w:rsidR="007716E2" w:rsidRPr="00301FB9" w:rsidRDefault="007716E2" w:rsidP="00301FB9">
      <w:pPr>
        <w:spacing w:after="0" w:line="240" w:lineRule="auto"/>
        <w:jc w:val="both"/>
        <w:rPr>
          <w:rFonts w:ascii="Times New Roman" w:hAnsi="Times New Roman"/>
        </w:rPr>
      </w:pPr>
    </w:p>
    <w:p w14:paraId="7D330624" w14:textId="77777777" w:rsidR="00301FB9" w:rsidRDefault="007716E2" w:rsidP="00301FB9">
      <w:pPr>
        <w:spacing w:after="0" w:line="240" w:lineRule="auto"/>
        <w:jc w:val="both"/>
        <w:rPr>
          <w:rFonts w:ascii="Times New Roman" w:hAnsi="Times New Roman"/>
        </w:rPr>
      </w:pPr>
      <w:r>
        <w:rPr>
          <w:rFonts w:ascii="Times New Roman" w:hAnsi="Times New Roman"/>
        </w:rPr>
        <w:t>Bitno je napomenuti kako Ministarstvo gospodarstva, poduzetništva i obrta</w:t>
      </w:r>
      <w:r w:rsidR="00301FB9" w:rsidRPr="00301FB9">
        <w:rPr>
          <w:rFonts w:ascii="Times New Roman" w:hAnsi="Times New Roman"/>
        </w:rPr>
        <w:t xml:space="preserve"> bilježi smanjenje evidentiranog dugovanja u Registru koncesija</w:t>
      </w:r>
      <w:r w:rsidR="006C4324">
        <w:rPr>
          <w:rFonts w:ascii="Times New Roman" w:hAnsi="Times New Roman"/>
        </w:rPr>
        <w:t xml:space="preserve"> kroz godine.</w:t>
      </w:r>
    </w:p>
    <w:p w14:paraId="7D330625" w14:textId="77777777" w:rsidR="006C4324" w:rsidRPr="00301FB9" w:rsidRDefault="006C4324" w:rsidP="00301FB9">
      <w:pPr>
        <w:spacing w:after="0" w:line="240" w:lineRule="auto"/>
        <w:jc w:val="both"/>
        <w:rPr>
          <w:rFonts w:ascii="Times New Roman" w:hAnsi="Times New Roman"/>
        </w:rPr>
      </w:pPr>
    </w:p>
    <w:p w14:paraId="7D330626" w14:textId="77777777" w:rsidR="00A9131D" w:rsidRDefault="00301FB9" w:rsidP="00301FB9">
      <w:pPr>
        <w:spacing w:after="0" w:line="240" w:lineRule="auto"/>
        <w:jc w:val="both"/>
        <w:rPr>
          <w:rFonts w:ascii="Times New Roman" w:hAnsi="Times New Roman"/>
        </w:rPr>
      </w:pPr>
      <w:r w:rsidRPr="00301FB9">
        <w:rPr>
          <w:rFonts w:ascii="Times New Roman" w:hAnsi="Times New Roman"/>
        </w:rPr>
        <w:t>Ministarstvo zaštite okoliša i energetike nadležno je za područje energetike i vodnoga gospodarstva i imaju evidentiran dug na dan 31.12.201</w:t>
      </w:r>
      <w:r w:rsidR="006C4324">
        <w:rPr>
          <w:rFonts w:ascii="Times New Roman" w:hAnsi="Times New Roman"/>
        </w:rPr>
        <w:t>9</w:t>
      </w:r>
      <w:r w:rsidRPr="00301FB9">
        <w:rPr>
          <w:rFonts w:ascii="Times New Roman" w:hAnsi="Times New Roman"/>
        </w:rPr>
        <w:t>.</w:t>
      </w:r>
      <w:r w:rsidR="006C4324">
        <w:rPr>
          <w:rFonts w:ascii="Times New Roman" w:hAnsi="Times New Roman"/>
        </w:rPr>
        <w:t xml:space="preserve"> </w:t>
      </w:r>
      <w:r w:rsidRPr="00301FB9">
        <w:rPr>
          <w:rFonts w:ascii="Times New Roman" w:hAnsi="Times New Roman"/>
        </w:rPr>
        <w:t xml:space="preserve">godine </w:t>
      </w:r>
      <w:r w:rsidR="006C4324">
        <w:rPr>
          <w:rFonts w:ascii="Times New Roman" w:hAnsi="Times New Roman"/>
        </w:rPr>
        <w:t>27,9</w:t>
      </w:r>
      <w:r w:rsidRPr="00301FB9">
        <w:rPr>
          <w:rFonts w:ascii="Times New Roman" w:hAnsi="Times New Roman"/>
        </w:rPr>
        <w:t xml:space="preserve"> mln kuna, te se </w:t>
      </w:r>
      <w:r w:rsidR="000B140B">
        <w:rPr>
          <w:rFonts w:ascii="Times New Roman" w:hAnsi="Times New Roman"/>
        </w:rPr>
        <w:t>isto velikim dijelom</w:t>
      </w:r>
      <w:r w:rsidRPr="00301FB9">
        <w:rPr>
          <w:rFonts w:ascii="Times New Roman" w:hAnsi="Times New Roman"/>
        </w:rPr>
        <w:t xml:space="preserve"> odnosi na nadležnost vodnoga gospodarstva. </w:t>
      </w:r>
    </w:p>
    <w:p w14:paraId="7D330627" w14:textId="77777777" w:rsidR="00A9131D" w:rsidRDefault="00A9131D" w:rsidP="00301FB9">
      <w:pPr>
        <w:spacing w:after="0" w:line="240" w:lineRule="auto"/>
        <w:jc w:val="both"/>
        <w:rPr>
          <w:rFonts w:ascii="Times New Roman" w:hAnsi="Times New Roman"/>
        </w:rPr>
      </w:pPr>
    </w:p>
    <w:p w14:paraId="7D330628" w14:textId="77777777" w:rsidR="00711887" w:rsidRPr="00235530" w:rsidRDefault="00711887" w:rsidP="00711887">
      <w:pPr>
        <w:spacing w:after="0" w:line="240" w:lineRule="auto"/>
        <w:jc w:val="both"/>
        <w:rPr>
          <w:rFonts w:ascii="Times New Roman" w:hAnsi="Times New Roman"/>
          <w:b/>
          <w:bCs/>
          <w:sz w:val="20"/>
          <w:szCs w:val="20"/>
          <w:lang w:eastAsia="hr-HR"/>
        </w:rPr>
      </w:pPr>
      <w:r w:rsidRPr="00235530">
        <w:rPr>
          <w:rFonts w:ascii="Times New Roman" w:hAnsi="Times New Roman"/>
          <w:b/>
          <w:bCs/>
          <w:sz w:val="20"/>
          <w:szCs w:val="20"/>
          <w:lang w:eastAsia="hr-HR"/>
        </w:rPr>
        <w:t>Tablica 1</w:t>
      </w:r>
      <w:r w:rsidR="006C4324">
        <w:rPr>
          <w:rFonts w:ascii="Times New Roman" w:hAnsi="Times New Roman"/>
          <w:b/>
          <w:bCs/>
          <w:sz w:val="20"/>
          <w:szCs w:val="20"/>
          <w:lang w:eastAsia="hr-HR"/>
        </w:rPr>
        <w:t>1</w:t>
      </w:r>
      <w:r w:rsidRPr="00235530">
        <w:rPr>
          <w:rFonts w:ascii="Times New Roman" w:hAnsi="Times New Roman"/>
          <w:b/>
          <w:bCs/>
          <w:sz w:val="20"/>
          <w:szCs w:val="20"/>
          <w:lang w:eastAsia="hr-HR"/>
        </w:rPr>
        <w:t xml:space="preserve">: </w:t>
      </w:r>
      <w:r w:rsidRPr="00235530">
        <w:rPr>
          <w:rFonts w:ascii="Times New Roman" w:hAnsi="Times New Roman"/>
          <w:bCs/>
          <w:sz w:val="20"/>
          <w:szCs w:val="20"/>
          <w:lang w:eastAsia="hr-HR"/>
        </w:rPr>
        <w:t>Iznos duga prema vrsti koncesije na dan 31. prosinca 201</w:t>
      </w:r>
      <w:r w:rsidR="006C4324">
        <w:rPr>
          <w:rFonts w:ascii="Times New Roman" w:hAnsi="Times New Roman"/>
          <w:bCs/>
          <w:sz w:val="20"/>
          <w:szCs w:val="20"/>
          <w:lang w:eastAsia="hr-HR"/>
        </w:rPr>
        <w:t>9</w:t>
      </w:r>
      <w:r w:rsidRPr="00235530">
        <w:rPr>
          <w:rFonts w:ascii="Times New Roman" w:hAnsi="Times New Roman"/>
          <w:bCs/>
          <w:sz w:val="20"/>
          <w:szCs w:val="20"/>
          <w:lang w:eastAsia="hr-HR"/>
        </w:rPr>
        <w:t xml:space="preserve">. </w:t>
      </w:r>
      <w:r w:rsidR="00DF61AA">
        <w:rPr>
          <w:rFonts w:ascii="Times New Roman" w:hAnsi="Times New Roman"/>
          <w:bCs/>
          <w:sz w:val="20"/>
          <w:szCs w:val="20"/>
          <w:lang w:eastAsia="hr-HR"/>
        </w:rPr>
        <w:t>godine</w:t>
      </w:r>
    </w:p>
    <w:p w14:paraId="7D330629" w14:textId="77777777" w:rsidR="00711887" w:rsidRPr="00235530" w:rsidRDefault="007F5746" w:rsidP="00711887">
      <w:pPr>
        <w:spacing w:after="0" w:line="240" w:lineRule="auto"/>
        <w:jc w:val="both"/>
        <w:rPr>
          <w:rFonts w:ascii="Times New Roman" w:eastAsia="Times New Roman" w:hAnsi="Times New Roman"/>
          <w:highlight w:val="yellow"/>
          <w:lang w:eastAsia="hr-HR"/>
        </w:rPr>
      </w:pPr>
      <w:r w:rsidRPr="007F5746">
        <w:rPr>
          <w:noProof/>
          <w:lang w:eastAsia="hr-HR"/>
        </w:rPr>
        <w:drawing>
          <wp:inline distT="0" distB="0" distL="0" distR="0" wp14:anchorId="7D3306EC" wp14:editId="7D3306ED">
            <wp:extent cx="4190365" cy="2160270"/>
            <wp:effectExtent l="0" t="0" r="635"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0365" cy="2160270"/>
                    </a:xfrm>
                    <a:prstGeom prst="rect">
                      <a:avLst/>
                    </a:prstGeom>
                    <a:noFill/>
                    <a:ln>
                      <a:noFill/>
                    </a:ln>
                  </pic:spPr>
                </pic:pic>
              </a:graphicData>
            </a:graphic>
          </wp:inline>
        </w:drawing>
      </w:r>
    </w:p>
    <w:p w14:paraId="7D33062A" w14:textId="77777777" w:rsidR="0064092B" w:rsidRPr="00235530" w:rsidRDefault="00711887" w:rsidP="00711887">
      <w:pPr>
        <w:spacing w:after="0" w:line="240" w:lineRule="auto"/>
        <w:jc w:val="both"/>
        <w:rPr>
          <w:rFonts w:ascii="Times New Roman" w:hAnsi="Times New Roman"/>
          <w:b/>
          <w:sz w:val="18"/>
          <w:szCs w:val="18"/>
          <w:lang w:eastAsia="hr-HR"/>
        </w:rPr>
      </w:pPr>
      <w:r w:rsidRPr="00235530">
        <w:rPr>
          <w:rFonts w:ascii="Times New Roman" w:hAnsi="Times New Roman"/>
          <w:b/>
          <w:sz w:val="18"/>
          <w:szCs w:val="18"/>
          <w:lang w:eastAsia="hr-HR"/>
        </w:rPr>
        <w:t>Izvor</w:t>
      </w:r>
      <w:r w:rsidRPr="00235530">
        <w:rPr>
          <w:rFonts w:ascii="Times New Roman" w:hAnsi="Times New Roman"/>
          <w:bCs/>
          <w:sz w:val="18"/>
          <w:szCs w:val="18"/>
          <w:lang w:eastAsia="hr-HR"/>
        </w:rPr>
        <w:t>: Ministarstvo financija, Registar koncesija</w:t>
      </w:r>
    </w:p>
    <w:p w14:paraId="7D33062B" w14:textId="77777777" w:rsidR="000B140B" w:rsidRDefault="000B140B" w:rsidP="00711887">
      <w:pPr>
        <w:spacing w:after="0" w:line="240" w:lineRule="auto"/>
        <w:jc w:val="both"/>
        <w:rPr>
          <w:rFonts w:ascii="Times New Roman" w:eastAsia="Times New Roman" w:hAnsi="Times New Roman"/>
          <w:lang w:eastAsia="hr-HR"/>
        </w:rPr>
      </w:pPr>
    </w:p>
    <w:p w14:paraId="7D33062C" w14:textId="77777777" w:rsidR="00A9131D" w:rsidRDefault="00711887" w:rsidP="00711887">
      <w:pPr>
        <w:spacing w:after="0" w:line="240" w:lineRule="auto"/>
        <w:jc w:val="both"/>
        <w:rPr>
          <w:rFonts w:ascii="Times New Roman" w:eastAsia="Times New Roman" w:hAnsi="Times New Roman"/>
          <w:lang w:eastAsia="hr-HR"/>
        </w:rPr>
      </w:pPr>
      <w:r w:rsidRPr="00FA10E5">
        <w:rPr>
          <w:rFonts w:ascii="Times New Roman" w:eastAsia="Times New Roman" w:hAnsi="Times New Roman"/>
          <w:lang w:eastAsia="hr-HR"/>
        </w:rPr>
        <w:t xml:space="preserve">Koncesije na pomorskom dobru imaju evidentiran dug u iznosu od </w:t>
      </w:r>
      <w:r w:rsidR="006C4324">
        <w:rPr>
          <w:rFonts w:ascii="Times New Roman" w:eastAsia="Times New Roman" w:hAnsi="Times New Roman"/>
          <w:lang w:eastAsia="hr-HR"/>
        </w:rPr>
        <w:t>43,5</w:t>
      </w:r>
      <w:r w:rsidRPr="00FA10E5">
        <w:rPr>
          <w:rFonts w:ascii="Times New Roman" w:eastAsia="Times New Roman" w:hAnsi="Times New Roman"/>
          <w:lang w:eastAsia="hr-HR"/>
        </w:rPr>
        <w:t xml:space="preserve"> mln kuna, a odnose se na koncesije kojima je davatelj Ministarstvo </w:t>
      </w:r>
      <w:r w:rsidR="00FA10E5" w:rsidRPr="00FA10E5">
        <w:rPr>
          <w:rFonts w:ascii="Times New Roman" w:eastAsia="Times New Roman" w:hAnsi="Times New Roman"/>
          <w:lang w:eastAsia="hr-HR"/>
        </w:rPr>
        <w:t>mora</w:t>
      </w:r>
      <w:r w:rsidRPr="00FA10E5">
        <w:rPr>
          <w:rFonts w:ascii="Times New Roman" w:eastAsia="Times New Roman" w:hAnsi="Times New Roman"/>
          <w:lang w:eastAsia="hr-HR"/>
        </w:rPr>
        <w:t>, prometa i infrastrukture, te koncesije koje daju županije i op</w:t>
      </w:r>
      <w:r w:rsidR="00A9131D">
        <w:rPr>
          <w:rFonts w:ascii="Times New Roman" w:eastAsia="Times New Roman" w:hAnsi="Times New Roman"/>
          <w:lang w:eastAsia="hr-HR"/>
        </w:rPr>
        <w:t xml:space="preserve">ćine/gradovi na pomorskom dobru, dok je za područje/vrstu koncesije rudarstva evidentiran dug u iznosu od </w:t>
      </w:r>
      <w:r w:rsidR="00952B3F">
        <w:rPr>
          <w:rFonts w:ascii="Times New Roman" w:eastAsia="Times New Roman" w:hAnsi="Times New Roman"/>
          <w:lang w:eastAsia="hr-HR"/>
        </w:rPr>
        <w:t>22,5</w:t>
      </w:r>
      <w:r w:rsidR="00A9131D">
        <w:rPr>
          <w:rFonts w:ascii="Times New Roman" w:eastAsia="Times New Roman" w:hAnsi="Times New Roman"/>
          <w:lang w:eastAsia="hr-HR"/>
        </w:rPr>
        <w:t xml:space="preserve"> mln kuna</w:t>
      </w:r>
      <w:r w:rsidR="00952B3F">
        <w:rPr>
          <w:rFonts w:ascii="Times New Roman" w:eastAsia="Times New Roman" w:hAnsi="Times New Roman"/>
          <w:lang w:eastAsia="hr-HR"/>
        </w:rPr>
        <w:t>, eneretike od 7,8 mln kuna, a iz područja korištenja voda20,1 mln kuna.</w:t>
      </w:r>
    </w:p>
    <w:p w14:paraId="7D33062D" w14:textId="77777777" w:rsidR="00952B3F" w:rsidRPr="00FA10E5" w:rsidRDefault="00952B3F" w:rsidP="00711887">
      <w:pPr>
        <w:spacing w:after="0" w:line="240" w:lineRule="auto"/>
        <w:jc w:val="both"/>
        <w:rPr>
          <w:rFonts w:ascii="Times New Roman" w:eastAsia="Times New Roman" w:hAnsi="Times New Roman"/>
          <w:lang w:eastAsia="hr-HR"/>
        </w:rPr>
      </w:pPr>
    </w:p>
    <w:p w14:paraId="7D33062E" w14:textId="77777777" w:rsidR="00711887" w:rsidRPr="00FA10E5" w:rsidRDefault="00711887" w:rsidP="00711887">
      <w:pPr>
        <w:spacing w:after="0" w:line="240" w:lineRule="auto"/>
        <w:jc w:val="both"/>
        <w:rPr>
          <w:rFonts w:ascii="Times New Roman" w:eastAsia="Times New Roman" w:hAnsi="Times New Roman"/>
          <w:lang w:eastAsia="hr-HR"/>
        </w:rPr>
      </w:pPr>
      <w:r w:rsidRPr="00FA10E5">
        <w:rPr>
          <w:rFonts w:ascii="Times New Roman" w:eastAsia="Times New Roman" w:hAnsi="Times New Roman"/>
          <w:lang w:eastAsia="hr-HR"/>
        </w:rPr>
        <w:t>Naplate koncesijskih dugovanja uočenih tijekom 201</w:t>
      </w:r>
      <w:r w:rsidR="00712151">
        <w:rPr>
          <w:rFonts w:ascii="Times New Roman" w:eastAsia="Times New Roman" w:hAnsi="Times New Roman"/>
          <w:lang w:eastAsia="hr-HR"/>
        </w:rPr>
        <w:t>9</w:t>
      </w:r>
      <w:r w:rsidRPr="00FA10E5">
        <w:rPr>
          <w:rFonts w:ascii="Times New Roman" w:eastAsia="Times New Roman" w:hAnsi="Times New Roman"/>
          <w:lang w:eastAsia="hr-HR"/>
        </w:rPr>
        <w:t>. godine, ali i ranijih godina ukazuje na činjenicu kako nerijetko davatelji koncesija ne provode adekvatna postupanja prisilnih naplata, ali i postup</w:t>
      </w:r>
      <w:r w:rsidR="003635D0">
        <w:rPr>
          <w:rFonts w:ascii="Times New Roman" w:eastAsia="Times New Roman" w:hAnsi="Times New Roman"/>
          <w:lang w:eastAsia="hr-HR"/>
        </w:rPr>
        <w:t>ke</w:t>
      </w:r>
      <w:r w:rsidRPr="00FA10E5">
        <w:rPr>
          <w:rFonts w:ascii="Times New Roman" w:eastAsia="Times New Roman" w:hAnsi="Times New Roman"/>
          <w:lang w:eastAsia="hr-HR"/>
        </w:rPr>
        <w:t xml:space="preserve"> raskida ugovora o koncesiji. To je i obveza koja proizlazi iz Zakona o koncesijama, ali i posebnih zakona na osnovu kojih su dane koncesije. </w:t>
      </w:r>
    </w:p>
    <w:p w14:paraId="7D33062F" w14:textId="77777777" w:rsidR="00711887" w:rsidRPr="00FA10E5" w:rsidRDefault="00711887" w:rsidP="00711887">
      <w:pPr>
        <w:spacing w:after="0" w:line="240" w:lineRule="auto"/>
        <w:jc w:val="both"/>
        <w:rPr>
          <w:rFonts w:ascii="Times New Roman" w:eastAsia="Times New Roman" w:hAnsi="Times New Roman"/>
          <w:lang w:eastAsia="hr-HR"/>
        </w:rPr>
      </w:pPr>
    </w:p>
    <w:p w14:paraId="7D330630" w14:textId="77777777" w:rsidR="00711887" w:rsidRPr="00FA10E5" w:rsidRDefault="00F46ADC" w:rsidP="00711887">
      <w:pPr>
        <w:spacing w:after="0" w:line="240" w:lineRule="auto"/>
        <w:jc w:val="both"/>
        <w:rPr>
          <w:rFonts w:ascii="Times New Roman" w:eastAsia="Times New Roman" w:hAnsi="Times New Roman"/>
          <w:lang w:eastAsia="hr-HR"/>
        </w:rPr>
      </w:pPr>
      <w:r w:rsidRPr="00FA10E5">
        <w:rPr>
          <w:rFonts w:ascii="Times New Roman" w:eastAsia="Times New Roman" w:hAnsi="Times New Roman"/>
          <w:lang w:eastAsia="hr-HR"/>
        </w:rPr>
        <w:t xml:space="preserve">Za napomenuti je kako </w:t>
      </w:r>
      <w:r w:rsidR="000B140B" w:rsidRPr="00FA10E5">
        <w:rPr>
          <w:rFonts w:ascii="Times New Roman" w:eastAsia="Times New Roman" w:hAnsi="Times New Roman"/>
          <w:lang w:eastAsia="hr-HR"/>
        </w:rPr>
        <w:t>Zakon o koncesijama</w:t>
      </w:r>
      <w:r w:rsidRPr="00FA10E5">
        <w:rPr>
          <w:rFonts w:ascii="Times New Roman" w:eastAsia="Times New Roman" w:hAnsi="Times New Roman"/>
          <w:lang w:eastAsia="hr-HR"/>
        </w:rPr>
        <w:t xml:space="preserve"> propisuju strož</w:t>
      </w:r>
      <w:r w:rsidR="00A9131D">
        <w:rPr>
          <w:rFonts w:ascii="Times New Roman" w:eastAsia="Times New Roman" w:hAnsi="Times New Roman"/>
          <w:lang w:eastAsia="hr-HR"/>
        </w:rPr>
        <w:t>e</w:t>
      </w:r>
      <w:r w:rsidRPr="00FA10E5">
        <w:rPr>
          <w:rFonts w:ascii="Times New Roman" w:eastAsia="Times New Roman" w:hAnsi="Times New Roman"/>
          <w:lang w:eastAsia="hr-HR"/>
        </w:rPr>
        <w:t xml:space="preserve"> </w:t>
      </w:r>
      <w:r w:rsidR="00711887" w:rsidRPr="00FA10E5">
        <w:rPr>
          <w:rFonts w:ascii="Times New Roman" w:eastAsia="Times New Roman" w:hAnsi="Times New Roman"/>
          <w:lang w:eastAsia="hr-HR"/>
        </w:rPr>
        <w:t>prekršajne odredbe kako za davatelje koncesija tako i za koncesionare koji ne postupaju u skladu s ugovorenim obvezama, ali i u skladu s Zakonom o koncesijama.</w:t>
      </w:r>
    </w:p>
    <w:p w14:paraId="7D330631" w14:textId="77777777" w:rsidR="00813ED4" w:rsidRPr="00FA10E5" w:rsidRDefault="00813ED4" w:rsidP="00995044">
      <w:pPr>
        <w:spacing w:after="0" w:line="240" w:lineRule="auto"/>
        <w:jc w:val="both"/>
        <w:rPr>
          <w:rFonts w:ascii="Times New Roman" w:hAnsi="Times New Roman"/>
          <w:b/>
          <w:bCs/>
          <w:lang w:eastAsia="hr-HR"/>
        </w:rPr>
      </w:pPr>
    </w:p>
    <w:p w14:paraId="7D330632" w14:textId="77777777" w:rsidR="005A6ADE" w:rsidRDefault="00F316C9" w:rsidP="00F316C9">
      <w:pPr>
        <w:spacing w:after="0" w:line="240" w:lineRule="auto"/>
        <w:jc w:val="both"/>
        <w:rPr>
          <w:rFonts w:ascii="Times New Roman" w:eastAsia="Times New Roman" w:hAnsi="Times New Roman"/>
          <w:lang w:eastAsia="hr-HR"/>
        </w:rPr>
      </w:pPr>
      <w:r w:rsidRPr="00FA10E5">
        <w:rPr>
          <w:rFonts w:ascii="Times New Roman" w:eastAsia="Times New Roman" w:hAnsi="Times New Roman"/>
          <w:lang w:eastAsia="hr-HR"/>
        </w:rPr>
        <w:t>Ukoliko se promatra iznos duga prema visini duga, (po razredima), što je sadržano u Tablici 1</w:t>
      </w:r>
      <w:r w:rsidR="00712151">
        <w:rPr>
          <w:rFonts w:ascii="Times New Roman" w:eastAsia="Times New Roman" w:hAnsi="Times New Roman"/>
          <w:lang w:eastAsia="hr-HR"/>
        </w:rPr>
        <w:t>2</w:t>
      </w:r>
      <w:r w:rsidRPr="00FA10E5">
        <w:rPr>
          <w:rFonts w:ascii="Times New Roman" w:eastAsia="Times New Roman" w:hAnsi="Times New Roman"/>
          <w:lang w:eastAsia="hr-HR"/>
        </w:rPr>
        <w:t xml:space="preserve">., </w:t>
      </w:r>
      <w:r w:rsidR="00712151">
        <w:rPr>
          <w:rFonts w:ascii="Times New Roman" w:eastAsia="Times New Roman" w:hAnsi="Times New Roman"/>
          <w:lang w:eastAsia="hr-HR"/>
        </w:rPr>
        <w:t>983</w:t>
      </w:r>
      <w:r w:rsidRPr="00FA10E5">
        <w:rPr>
          <w:rFonts w:ascii="Times New Roman" w:eastAsia="Times New Roman" w:hAnsi="Times New Roman"/>
          <w:lang w:eastAsia="hr-HR"/>
        </w:rPr>
        <w:t xml:space="preserve"> dužnika nalazi se u najnižem razredu iznosa duga (</w:t>
      </w:r>
      <w:r w:rsidR="00FA10E5" w:rsidRPr="00FA10E5">
        <w:rPr>
          <w:rFonts w:ascii="Times New Roman" w:eastAsia="Times New Roman" w:hAnsi="Times New Roman"/>
          <w:lang w:eastAsia="hr-HR"/>
        </w:rPr>
        <w:t>10</w:t>
      </w:r>
      <w:r w:rsidRPr="00FA10E5">
        <w:rPr>
          <w:rFonts w:ascii="Times New Roman" w:eastAsia="Times New Roman" w:hAnsi="Times New Roman"/>
          <w:lang w:eastAsia="hr-HR"/>
        </w:rPr>
        <w:t xml:space="preserve">-499,99 kuna). Kašnjenje u plaćanju naknade za koncesiju u ovom slučaju nije vremenski dugo. Broj dužnika smanjuje se sa visinom duga, što znači da manji broj dužnika kumulira značajne iznose dugovanja. Koncesionari čiji pojedinačni dug prelazi 1 mln kuna (njih </w:t>
      </w:r>
      <w:r w:rsidR="00712151">
        <w:rPr>
          <w:rFonts w:ascii="Times New Roman" w:eastAsia="Times New Roman" w:hAnsi="Times New Roman"/>
          <w:lang w:eastAsia="hr-HR"/>
        </w:rPr>
        <w:t>21</w:t>
      </w:r>
      <w:r w:rsidRPr="00FA10E5">
        <w:rPr>
          <w:rFonts w:ascii="Times New Roman" w:eastAsia="Times New Roman" w:hAnsi="Times New Roman"/>
          <w:lang w:eastAsia="hr-HR"/>
        </w:rPr>
        <w:t xml:space="preserve">), ukupno generiraju </w:t>
      </w:r>
      <w:r w:rsidR="00712151">
        <w:rPr>
          <w:rFonts w:ascii="Times New Roman" w:eastAsia="Times New Roman" w:hAnsi="Times New Roman"/>
          <w:lang w:eastAsia="hr-HR"/>
        </w:rPr>
        <w:t>65,9</w:t>
      </w:r>
      <w:r w:rsidRPr="00FA10E5">
        <w:rPr>
          <w:rFonts w:ascii="Times New Roman" w:eastAsia="Times New Roman" w:hAnsi="Times New Roman"/>
          <w:lang w:eastAsia="hr-HR"/>
        </w:rPr>
        <w:t xml:space="preserve"> mln kuna duga.</w:t>
      </w:r>
      <w:r w:rsidR="004E2606">
        <w:rPr>
          <w:rFonts w:ascii="Times New Roman" w:eastAsia="Times New Roman" w:hAnsi="Times New Roman"/>
          <w:lang w:eastAsia="hr-HR"/>
        </w:rPr>
        <w:t xml:space="preserve"> </w:t>
      </w:r>
    </w:p>
    <w:p w14:paraId="7D330633" w14:textId="77777777" w:rsidR="004E2606" w:rsidRDefault="004E2606" w:rsidP="00F316C9">
      <w:pPr>
        <w:spacing w:after="0" w:line="240" w:lineRule="auto"/>
        <w:jc w:val="both"/>
        <w:rPr>
          <w:rFonts w:ascii="Times New Roman" w:eastAsia="Times New Roman" w:hAnsi="Times New Roman"/>
          <w:lang w:eastAsia="hr-HR"/>
        </w:rPr>
      </w:pPr>
    </w:p>
    <w:p w14:paraId="7D330634" w14:textId="77777777" w:rsidR="004E2606" w:rsidRDefault="003635D0" w:rsidP="00F316C9">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Najveći iznosi dugovanja iz nadležnosti svakog resora</w:t>
      </w:r>
      <w:r w:rsidR="004E2606">
        <w:rPr>
          <w:rFonts w:ascii="Times New Roman" w:eastAsia="Times New Roman" w:hAnsi="Times New Roman"/>
          <w:lang w:eastAsia="hr-HR"/>
        </w:rPr>
        <w:t xml:space="preserve"> dugovanja</w:t>
      </w:r>
      <w:r w:rsidR="004E2606" w:rsidRPr="004E2606">
        <w:rPr>
          <w:rFonts w:ascii="Times New Roman" w:eastAsia="Times New Roman" w:hAnsi="Times New Roman"/>
          <w:lang w:eastAsia="hr-HR"/>
        </w:rPr>
        <w:t xml:space="preserve"> </w:t>
      </w:r>
      <w:r w:rsidR="004E2606">
        <w:rPr>
          <w:rFonts w:ascii="Times New Roman" w:eastAsia="Times New Roman" w:hAnsi="Times New Roman"/>
          <w:lang w:eastAsia="hr-HR"/>
        </w:rPr>
        <w:t xml:space="preserve">odnose </w:t>
      </w:r>
      <w:r w:rsidR="0005049B">
        <w:rPr>
          <w:rFonts w:ascii="Times New Roman" w:eastAsia="Times New Roman" w:hAnsi="Times New Roman"/>
          <w:lang w:eastAsia="hr-HR"/>
        </w:rPr>
        <w:t xml:space="preserve">se </w:t>
      </w:r>
      <w:r w:rsidR="004E2606">
        <w:rPr>
          <w:rFonts w:ascii="Times New Roman" w:eastAsia="Times New Roman" w:hAnsi="Times New Roman"/>
          <w:lang w:eastAsia="hr-HR"/>
        </w:rPr>
        <w:t xml:space="preserve">na dugovanja </w:t>
      </w:r>
      <w:r w:rsidR="004E2606" w:rsidRPr="004E2606">
        <w:rPr>
          <w:rFonts w:ascii="Times New Roman" w:eastAsia="Times New Roman" w:hAnsi="Times New Roman"/>
          <w:lang w:eastAsia="hr-HR"/>
        </w:rPr>
        <w:t>trgovačkih d</w:t>
      </w:r>
      <w:r w:rsidR="004E2606">
        <w:rPr>
          <w:rFonts w:ascii="Times New Roman" w:eastAsia="Times New Roman" w:hAnsi="Times New Roman"/>
          <w:lang w:eastAsia="hr-HR"/>
        </w:rPr>
        <w:t>ruštava koja su otišla u stečaj</w:t>
      </w:r>
      <w:r w:rsidR="0005049B">
        <w:rPr>
          <w:rFonts w:ascii="Times New Roman" w:eastAsia="Times New Roman" w:hAnsi="Times New Roman"/>
          <w:lang w:eastAsia="hr-HR"/>
        </w:rPr>
        <w:t>, odnosno u predstečaj</w:t>
      </w:r>
      <w:r w:rsidR="004E2606">
        <w:rPr>
          <w:rFonts w:ascii="Times New Roman" w:eastAsia="Times New Roman" w:hAnsi="Times New Roman"/>
          <w:lang w:eastAsia="hr-HR"/>
        </w:rPr>
        <w:t xml:space="preserve">, </w:t>
      </w:r>
      <w:r w:rsidR="0005049B">
        <w:rPr>
          <w:rFonts w:ascii="Times New Roman" w:eastAsia="Times New Roman" w:hAnsi="Times New Roman"/>
          <w:lang w:eastAsia="hr-HR"/>
        </w:rPr>
        <w:t>a čiji postupci su još u tijeku</w:t>
      </w:r>
      <w:r w:rsidR="004E2606">
        <w:rPr>
          <w:rFonts w:ascii="Times New Roman" w:eastAsia="Times New Roman" w:hAnsi="Times New Roman"/>
          <w:lang w:eastAsia="hr-HR"/>
        </w:rPr>
        <w:t>.</w:t>
      </w:r>
    </w:p>
    <w:p w14:paraId="7D330635" w14:textId="77777777" w:rsidR="00A9131D" w:rsidRPr="00235530" w:rsidRDefault="00A9131D" w:rsidP="00F316C9">
      <w:pPr>
        <w:spacing w:after="0" w:line="240" w:lineRule="auto"/>
        <w:jc w:val="both"/>
        <w:rPr>
          <w:rFonts w:ascii="Times New Roman" w:eastAsia="Times New Roman" w:hAnsi="Times New Roman"/>
          <w:lang w:eastAsia="hr-HR"/>
        </w:rPr>
      </w:pPr>
    </w:p>
    <w:p w14:paraId="7D330636" w14:textId="77777777" w:rsidR="00BF5999" w:rsidRPr="00235530" w:rsidRDefault="00BF5999" w:rsidP="00842B66">
      <w:pPr>
        <w:spacing w:after="0" w:line="240" w:lineRule="auto"/>
        <w:jc w:val="both"/>
        <w:rPr>
          <w:rFonts w:ascii="Times New Roman" w:eastAsia="Times New Roman" w:hAnsi="Times New Roman"/>
          <w:sz w:val="20"/>
          <w:szCs w:val="20"/>
          <w:lang w:eastAsia="hr-HR"/>
        </w:rPr>
      </w:pPr>
      <w:r w:rsidRPr="00235530">
        <w:rPr>
          <w:rFonts w:ascii="Times New Roman" w:eastAsia="Times New Roman" w:hAnsi="Times New Roman"/>
          <w:b/>
          <w:sz w:val="20"/>
          <w:szCs w:val="20"/>
          <w:lang w:eastAsia="hr-HR"/>
        </w:rPr>
        <w:t xml:space="preserve">Tablica </w:t>
      </w:r>
      <w:r w:rsidR="007C4C3A" w:rsidRPr="00235530">
        <w:rPr>
          <w:rFonts w:ascii="Times New Roman" w:eastAsia="Times New Roman" w:hAnsi="Times New Roman"/>
          <w:b/>
          <w:sz w:val="20"/>
          <w:szCs w:val="20"/>
          <w:lang w:eastAsia="hr-HR"/>
        </w:rPr>
        <w:t>1</w:t>
      </w:r>
      <w:r w:rsidR="00712151">
        <w:rPr>
          <w:rFonts w:ascii="Times New Roman" w:eastAsia="Times New Roman" w:hAnsi="Times New Roman"/>
          <w:b/>
          <w:sz w:val="20"/>
          <w:szCs w:val="20"/>
          <w:lang w:eastAsia="hr-HR"/>
        </w:rPr>
        <w:t>2</w:t>
      </w:r>
      <w:r w:rsidRPr="00235530">
        <w:rPr>
          <w:rFonts w:ascii="Times New Roman" w:eastAsia="Times New Roman" w:hAnsi="Times New Roman"/>
          <w:sz w:val="20"/>
          <w:szCs w:val="20"/>
          <w:lang w:eastAsia="hr-HR"/>
        </w:rPr>
        <w:t>: Broj dužnika prema iznosu duga u kunama na dan 31. prosinca 201</w:t>
      </w:r>
      <w:r w:rsidR="00712151">
        <w:rPr>
          <w:rFonts w:ascii="Times New Roman" w:eastAsia="Times New Roman" w:hAnsi="Times New Roman"/>
          <w:sz w:val="20"/>
          <w:szCs w:val="20"/>
          <w:lang w:eastAsia="hr-HR"/>
        </w:rPr>
        <w:t>9</w:t>
      </w:r>
      <w:r w:rsidRPr="00235530">
        <w:rPr>
          <w:rFonts w:ascii="Times New Roman" w:eastAsia="Times New Roman" w:hAnsi="Times New Roman"/>
          <w:sz w:val="20"/>
          <w:szCs w:val="20"/>
          <w:lang w:eastAsia="hr-HR"/>
        </w:rPr>
        <w:t xml:space="preserve">. </w:t>
      </w:r>
      <w:r w:rsidR="00DF61AA">
        <w:rPr>
          <w:rFonts w:ascii="Times New Roman" w:eastAsia="Times New Roman" w:hAnsi="Times New Roman"/>
          <w:sz w:val="20"/>
          <w:szCs w:val="20"/>
          <w:lang w:eastAsia="hr-HR"/>
        </w:rPr>
        <w:t>godine</w:t>
      </w:r>
    </w:p>
    <w:p w14:paraId="7D330637" w14:textId="77777777" w:rsidR="00BF5999" w:rsidRPr="00235530" w:rsidRDefault="00712151" w:rsidP="00842B66">
      <w:pPr>
        <w:spacing w:after="0" w:line="240" w:lineRule="auto"/>
        <w:jc w:val="both"/>
        <w:rPr>
          <w:rFonts w:ascii="Times New Roman" w:eastAsia="Times New Roman" w:hAnsi="Times New Roman"/>
          <w:lang w:eastAsia="hr-HR"/>
        </w:rPr>
      </w:pPr>
      <w:r w:rsidRPr="00712151">
        <w:rPr>
          <w:noProof/>
          <w:lang w:eastAsia="hr-HR"/>
        </w:rPr>
        <w:drawing>
          <wp:inline distT="0" distB="0" distL="0" distR="0" wp14:anchorId="7D3306EE" wp14:editId="7D3306EF">
            <wp:extent cx="4190365" cy="2296795"/>
            <wp:effectExtent l="0" t="0" r="635"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0365" cy="2296795"/>
                    </a:xfrm>
                    <a:prstGeom prst="rect">
                      <a:avLst/>
                    </a:prstGeom>
                    <a:noFill/>
                    <a:ln>
                      <a:noFill/>
                    </a:ln>
                  </pic:spPr>
                </pic:pic>
              </a:graphicData>
            </a:graphic>
          </wp:inline>
        </w:drawing>
      </w:r>
    </w:p>
    <w:p w14:paraId="7D330638" w14:textId="77777777" w:rsidR="00CF5CE4" w:rsidRDefault="00BF5999" w:rsidP="00C912B9">
      <w:pPr>
        <w:spacing w:after="0" w:line="240" w:lineRule="auto"/>
        <w:jc w:val="both"/>
        <w:rPr>
          <w:rFonts w:ascii="Times New Roman" w:hAnsi="Times New Roman"/>
          <w:bCs/>
          <w:sz w:val="20"/>
          <w:szCs w:val="20"/>
          <w:lang w:eastAsia="hr-HR"/>
        </w:rPr>
      </w:pPr>
      <w:r w:rsidRPr="00235530">
        <w:rPr>
          <w:rFonts w:ascii="Times New Roman" w:hAnsi="Times New Roman"/>
          <w:b/>
          <w:sz w:val="20"/>
          <w:szCs w:val="20"/>
          <w:lang w:eastAsia="hr-HR"/>
        </w:rPr>
        <w:t>Izvor</w:t>
      </w:r>
      <w:r w:rsidRPr="00235530">
        <w:rPr>
          <w:rFonts w:ascii="Times New Roman" w:hAnsi="Times New Roman"/>
          <w:bCs/>
          <w:sz w:val="20"/>
          <w:szCs w:val="20"/>
          <w:lang w:eastAsia="hr-HR"/>
        </w:rPr>
        <w:t>: Ministarstvo financija, Registar koncesija</w:t>
      </w:r>
    </w:p>
    <w:p w14:paraId="7D330639" w14:textId="77777777" w:rsidR="00712151" w:rsidRDefault="00712151" w:rsidP="00C912B9">
      <w:pPr>
        <w:spacing w:after="0" w:line="240" w:lineRule="auto"/>
        <w:jc w:val="both"/>
        <w:rPr>
          <w:rFonts w:ascii="Times New Roman" w:hAnsi="Times New Roman"/>
          <w:bCs/>
          <w:sz w:val="20"/>
          <w:szCs w:val="20"/>
          <w:lang w:eastAsia="hr-HR"/>
        </w:rPr>
      </w:pPr>
    </w:p>
    <w:p w14:paraId="7D33063A" w14:textId="77777777" w:rsidR="00712151" w:rsidRDefault="00712151" w:rsidP="00C912B9">
      <w:pPr>
        <w:spacing w:after="0" w:line="240" w:lineRule="auto"/>
        <w:jc w:val="both"/>
        <w:rPr>
          <w:rFonts w:ascii="Times New Roman" w:hAnsi="Times New Roman"/>
          <w:bCs/>
          <w:sz w:val="20"/>
          <w:szCs w:val="20"/>
          <w:lang w:eastAsia="hr-HR"/>
        </w:rPr>
      </w:pPr>
    </w:p>
    <w:p w14:paraId="7D33063B" w14:textId="77777777" w:rsidR="00712151" w:rsidRDefault="00712151" w:rsidP="00C912B9">
      <w:pPr>
        <w:spacing w:after="0" w:line="240" w:lineRule="auto"/>
        <w:jc w:val="both"/>
        <w:rPr>
          <w:rFonts w:ascii="Times New Roman" w:hAnsi="Times New Roman"/>
          <w:bCs/>
          <w:sz w:val="20"/>
          <w:szCs w:val="20"/>
          <w:lang w:eastAsia="hr-HR"/>
        </w:rPr>
      </w:pPr>
    </w:p>
    <w:p w14:paraId="7D33063C" w14:textId="77777777" w:rsidR="00712151" w:rsidRDefault="00712151" w:rsidP="00C912B9">
      <w:pPr>
        <w:spacing w:after="0" w:line="240" w:lineRule="auto"/>
        <w:jc w:val="both"/>
        <w:rPr>
          <w:rFonts w:ascii="Times New Roman" w:hAnsi="Times New Roman"/>
          <w:bCs/>
          <w:sz w:val="20"/>
          <w:szCs w:val="20"/>
          <w:lang w:eastAsia="hr-HR"/>
        </w:rPr>
      </w:pPr>
    </w:p>
    <w:p w14:paraId="7D33063D" w14:textId="77777777" w:rsidR="00712151" w:rsidRDefault="00712151" w:rsidP="00C912B9">
      <w:pPr>
        <w:spacing w:after="0" w:line="240" w:lineRule="auto"/>
        <w:jc w:val="both"/>
        <w:rPr>
          <w:rFonts w:ascii="Times New Roman" w:hAnsi="Times New Roman"/>
          <w:bCs/>
          <w:sz w:val="20"/>
          <w:szCs w:val="20"/>
          <w:lang w:eastAsia="hr-HR"/>
        </w:rPr>
      </w:pPr>
    </w:p>
    <w:p w14:paraId="7D33063E" w14:textId="77777777" w:rsidR="00712151" w:rsidRDefault="00712151" w:rsidP="00C912B9">
      <w:pPr>
        <w:spacing w:after="0" w:line="240" w:lineRule="auto"/>
        <w:jc w:val="both"/>
        <w:rPr>
          <w:rFonts w:ascii="Times New Roman" w:hAnsi="Times New Roman"/>
          <w:bCs/>
          <w:sz w:val="20"/>
          <w:szCs w:val="20"/>
          <w:lang w:eastAsia="hr-HR"/>
        </w:rPr>
      </w:pPr>
    </w:p>
    <w:p w14:paraId="7D33063F" w14:textId="77777777" w:rsidR="00712151" w:rsidRDefault="00712151" w:rsidP="00C912B9">
      <w:pPr>
        <w:spacing w:after="0" w:line="240" w:lineRule="auto"/>
        <w:jc w:val="both"/>
        <w:rPr>
          <w:rFonts w:ascii="Times New Roman" w:hAnsi="Times New Roman"/>
          <w:bCs/>
          <w:sz w:val="20"/>
          <w:szCs w:val="20"/>
          <w:lang w:eastAsia="hr-HR"/>
        </w:rPr>
      </w:pPr>
    </w:p>
    <w:p w14:paraId="7D330640" w14:textId="77777777" w:rsidR="00712151" w:rsidRDefault="00712151" w:rsidP="00C912B9">
      <w:pPr>
        <w:spacing w:after="0" w:line="240" w:lineRule="auto"/>
        <w:jc w:val="both"/>
        <w:rPr>
          <w:rFonts w:ascii="Times New Roman" w:hAnsi="Times New Roman"/>
          <w:bCs/>
          <w:sz w:val="20"/>
          <w:szCs w:val="20"/>
          <w:lang w:eastAsia="hr-HR"/>
        </w:rPr>
      </w:pPr>
    </w:p>
    <w:p w14:paraId="7D330641" w14:textId="77777777" w:rsidR="00712151" w:rsidRDefault="00712151" w:rsidP="00C912B9">
      <w:pPr>
        <w:spacing w:after="0" w:line="240" w:lineRule="auto"/>
        <w:jc w:val="both"/>
        <w:rPr>
          <w:rFonts w:ascii="Times New Roman" w:hAnsi="Times New Roman"/>
          <w:bCs/>
          <w:sz w:val="20"/>
          <w:szCs w:val="20"/>
          <w:lang w:eastAsia="hr-HR"/>
        </w:rPr>
      </w:pPr>
    </w:p>
    <w:p w14:paraId="7D330642" w14:textId="77777777" w:rsidR="00712151" w:rsidRDefault="00712151" w:rsidP="00C912B9">
      <w:pPr>
        <w:spacing w:after="0" w:line="240" w:lineRule="auto"/>
        <w:jc w:val="both"/>
        <w:rPr>
          <w:rFonts w:ascii="Times New Roman" w:hAnsi="Times New Roman"/>
          <w:bCs/>
          <w:sz w:val="20"/>
          <w:szCs w:val="20"/>
          <w:lang w:eastAsia="hr-HR"/>
        </w:rPr>
      </w:pPr>
    </w:p>
    <w:p w14:paraId="7D330643" w14:textId="77777777" w:rsidR="00712151" w:rsidRDefault="00712151" w:rsidP="00C912B9">
      <w:pPr>
        <w:spacing w:after="0" w:line="240" w:lineRule="auto"/>
        <w:jc w:val="both"/>
        <w:rPr>
          <w:rFonts w:ascii="Times New Roman" w:hAnsi="Times New Roman"/>
          <w:bCs/>
          <w:sz w:val="20"/>
          <w:szCs w:val="20"/>
          <w:lang w:eastAsia="hr-HR"/>
        </w:rPr>
      </w:pPr>
    </w:p>
    <w:p w14:paraId="7D330644" w14:textId="77777777" w:rsidR="00712151" w:rsidRDefault="00712151" w:rsidP="00C912B9">
      <w:pPr>
        <w:spacing w:after="0" w:line="240" w:lineRule="auto"/>
        <w:jc w:val="both"/>
        <w:rPr>
          <w:rFonts w:ascii="Times New Roman" w:hAnsi="Times New Roman"/>
          <w:bCs/>
          <w:sz w:val="20"/>
          <w:szCs w:val="20"/>
          <w:lang w:eastAsia="hr-HR"/>
        </w:rPr>
      </w:pPr>
    </w:p>
    <w:p w14:paraId="7D330645" w14:textId="77777777" w:rsidR="00712151" w:rsidRDefault="00712151" w:rsidP="00C912B9">
      <w:pPr>
        <w:spacing w:after="0" w:line="240" w:lineRule="auto"/>
        <w:jc w:val="both"/>
        <w:rPr>
          <w:rFonts w:ascii="Times New Roman" w:hAnsi="Times New Roman"/>
          <w:bCs/>
          <w:sz w:val="20"/>
          <w:szCs w:val="20"/>
          <w:lang w:eastAsia="hr-HR"/>
        </w:rPr>
      </w:pPr>
    </w:p>
    <w:p w14:paraId="7D330646" w14:textId="77777777" w:rsidR="00712151" w:rsidRDefault="00712151" w:rsidP="00C912B9">
      <w:pPr>
        <w:spacing w:after="0" w:line="240" w:lineRule="auto"/>
        <w:jc w:val="both"/>
        <w:rPr>
          <w:rFonts w:ascii="Times New Roman" w:hAnsi="Times New Roman"/>
          <w:bCs/>
          <w:sz w:val="20"/>
          <w:szCs w:val="20"/>
          <w:lang w:eastAsia="hr-HR"/>
        </w:rPr>
      </w:pPr>
    </w:p>
    <w:p w14:paraId="7D330647" w14:textId="77777777" w:rsidR="00712151" w:rsidRDefault="00712151" w:rsidP="00C912B9">
      <w:pPr>
        <w:spacing w:after="0" w:line="240" w:lineRule="auto"/>
        <w:jc w:val="both"/>
        <w:rPr>
          <w:rFonts w:ascii="Times New Roman" w:hAnsi="Times New Roman"/>
          <w:bCs/>
          <w:sz w:val="20"/>
          <w:szCs w:val="20"/>
          <w:lang w:eastAsia="hr-HR"/>
        </w:rPr>
      </w:pPr>
    </w:p>
    <w:p w14:paraId="7D330648" w14:textId="77777777" w:rsidR="00712151" w:rsidRDefault="00712151" w:rsidP="00C912B9">
      <w:pPr>
        <w:spacing w:after="0" w:line="240" w:lineRule="auto"/>
        <w:jc w:val="both"/>
        <w:rPr>
          <w:rFonts w:ascii="Times New Roman" w:hAnsi="Times New Roman"/>
          <w:bCs/>
          <w:sz w:val="20"/>
          <w:szCs w:val="20"/>
          <w:lang w:eastAsia="hr-HR"/>
        </w:rPr>
      </w:pPr>
    </w:p>
    <w:p w14:paraId="7D330649" w14:textId="77777777" w:rsidR="00712151" w:rsidRDefault="00712151" w:rsidP="00C912B9">
      <w:pPr>
        <w:spacing w:after="0" w:line="240" w:lineRule="auto"/>
        <w:jc w:val="both"/>
        <w:rPr>
          <w:rFonts w:ascii="Times New Roman" w:hAnsi="Times New Roman"/>
          <w:bCs/>
          <w:sz w:val="20"/>
          <w:szCs w:val="20"/>
          <w:lang w:eastAsia="hr-HR"/>
        </w:rPr>
      </w:pPr>
    </w:p>
    <w:p w14:paraId="7D33064A" w14:textId="77777777" w:rsidR="00712151" w:rsidRPr="00C912B9" w:rsidRDefault="00712151" w:rsidP="00C912B9">
      <w:pPr>
        <w:spacing w:after="0" w:line="240" w:lineRule="auto"/>
        <w:jc w:val="both"/>
        <w:rPr>
          <w:rFonts w:ascii="Times New Roman" w:hAnsi="Times New Roman"/>
          <w:b/>
          <w:sz w:val="20"/>
          <w:szCs w:val="20"/>
          <w:lang w:eastAsia="hr-HR"/>
        </w:rPr>
      </w:pPr>
    </w:p>
    <w:p w14:paraId="7D33064B" w14:textId="77777777" w:rsidR="00911414" w:rsidRPr="00351BC1" w:rsidRDefault="00360E59" w:rsidP="009F3108">
      <w:pPr>
        <w:pStyle w:val="Heading1"/>
        <w:rPr>
          <w:rStyle w:val="IntenseReference"/>
          <w:rFonts w:ascii="Times New Roman" w:hAnsi="Times New Roman" w:cs="Times New Roman"/>
          <w:b/>
          <w:color w:val="auto"/>
          <w:sz w:val="24"/>
          <w:szCs w:val="24"/>
        </w:rPr>
      </w:pPr>
      <w:bookmarkStart w:id="16" w:name="_Toc526419506"/>
      <w:r w:rsidRPr="00351BC1">
        <w:rPr>
          <w:rStyle w:val="IntenseReference"/>
          <w:rFonts w:ascii="Times New Roman" w:hAnsi="Times New Roman" w:cs="Times New Roman"/>
          <w:b/>
          <w:color w:val="auto"/>
          <w:sz w:val="24"/>
          <w:szCs w:val="24"/>
        </w:rPr>
        <w:t>6</w:t>
      </w:r>
      <w:r w:rsidR="00911414" w:rsidRPr="00351BC1">
        <w:rPr>
          <w:rStyle w:val="IntenseReference"/>
          <w:rFonts w:ascii="Times New Roman" w:hAnsi="Times New Roman" w:cs="Times New Roman"/>
          <w:b/>
          <w:color w:val="auto"/>
          <w:sz w:val="24"/>
          <w:szCs w:val="24"/>
        </w:rPr>
        <w:t>. FINANCIJSKI NADZOR ZAKONITOSTI, PRAVILNOSTI I PRAVODOBNOSTI OBRAČUNA, PRIJAVA I UPLATA NAKNADA ZA KONCESIJE</w:t>
      </w:r>
      <w:bookmarkEnd w:id="16"/>
    </w:p>
    <w:p w14:paraId="7D33064C" w14:textId="77777777" w:rsidR="00911414" w:rsidRPr="00235530" w:rsidRDefault="00911414" w:rsidP="00370BC0">
      <w:pPr>
        <w:spacing w:after="0" w:line="240" w:lineRule="auto"/>
        <w:jc w:val="both"/>
        <w:rPr>
          <w:rFonts w:ascii="Times New Roman" w:hAnsi="Times New Roman"/>
          <w:bCs/>
          <w:lang w:eastAsia="hr-HR"/>
        </w:rPr>
      </w:pPr>
    </w:p>
    <w:p w14:paraId="7D33064D" w14:textId="77777777" w:rsidR="00911414" w:rsidRPr="00235530" w:rsidRDefault="00911414" w:rsidP="00370BC0">
      <w:pPr>
        <w:spacing w:after="0" w:line="240" w:lineRule="auto"/>
        <w:jc w:val="both"/>
        <w:rPr>
          <w:rFonts w:ascii="Times New Roman" w:hAnsi="Times New Roman"/>
        </w:rPr>
      </w:pPr>
      <w:r w:rsidRPr="00235530">
        <w:rPr>
          <w:rFonts w:ascii="Times New Roman" w:hAnsi="Times New Roman"/>
        </w:rPr>
        <w:t xml:space="preserve">Zakonom o koncesijama propisane su prekršajne odredbe za koncesionara ako ne plati naknadu za koncesiju te za odgovornu osobu ako je koncesionar pravna osoba. </w:t>
      </w:r>
    </w:p>
    <w:p w14:paraId="7D33064E" w14:textId="77777777" w:rsidR="00911414" w:rsidRPr="00235530" w:rsidRDefault="00911414" w:rsidP="00370BC0">
      <w:pPr>
        <w:spacing w:after="0" w:line="240" w:lineRule="auto"/>
        <w:jc w:val="both"/>
        <w:rPr>
          <w:rFonts w:ascii="Times New Roman" w:hAnsi="Times New Roman"/>
        </w:rPr>
      </w:pPr>
    </w:p>
    <w:p w14:paraId="7D33064F" w14:textId="77777777" w:rsidR="00911414" w:rsidRPr="00235530" w:rsidRDefault="00911414" w:rsidP="00370BC0">
      <w:pPr>
        <w:spacing w:after="0" w:line="240" w:lineRule="auto"/>
        <w:jc w:val="both"/>
        <w:rPr>
          <w:rFonts w:ascii="Times New Roman" w:hAnsi="Times New Roman"/>
        </w:rPr>
      </w:pPr>
      <w:r w:rsidRPr="00235530">
        <w:rPr>
          <w:rFonts w:ascii="Times New Roman" w:hAnsi="Times New Roman"/>
        </w:rPr>
        <w:t>Važno je istaknuti da su propisane i prekršajne odredbe za davatelja koncesije i odgovornu osobu za taj prekršaj kod davatelja koncesije ako ne poduzima mjere za potpunu i pravodobnu naplatu prihoda od koncesija.</w:t>
      </w:r>
    </w:p>
    <w:p w14:paraId="7D330650" w14:textId="77777777" w:rsidR="00911414" w:rsidRPr="00235530" w:rsidRDefault="00911414" w:rsidP="00370BC0">
      <w:pPr>
        <w:spacing w:after="0" w:line="240" w:lineRule="auto"/>
        <w:jc w:val="both"/>
        <w:rPr>
          <w:rFonts w:ascii="Times New Roman" w:hAnsi="Times New Roman"/>
        </w:rPr>
      </w:pPr>
    </w:p>
    <w:p w14:paraId="7D330651" w14:textId="77777777" w:rsidR="00911414" w:rsidRPr="00235530" w:rsidRDefault="00911414" w:rsidP="00370BC0">
      <w:pPr>
        <w:spacing w:after="0" w:line="240" w:lineRule="auto"/>
        <w:jc w:val="both"/>
        <w:rPr>
          <w:rFonts w:ascii="Times New Roman" w:hAnsi="Times New Roman"/>
        </w:rPr>
      </w:pPr>
      <w:r w:rsidRPr="00235530">
        <w:rPr>
          <w:rFonts w:ascii="Times New Roman" w:hAnsi="Times New Roman"/>
        </w:rPr>
        <w:t>Također, zakonskim okvirom propisuju se i prekršajne odredbe za pravne osobe koje su posebnim propisima ovlaštene za davanje koncesija, ako protivno odredbama navedenoga Zakona kao i posebnih propisa kojima se uređuju pojedine koncesije Ministarstvu financija ne dostavi podatke potrebne radi upisa u Registar koncesija  ili navedene podatke ne dostavi u roku.</w:t>
      </w:r>
    </w:p>
    <w:p w14:paraId="7D330652" w14:textId="77777777" w:rsidR="00911414" w:rsidRPr="00235530" w:rsidRDefault="00911414" w:rsidP="00370BC0">
      <w:pPr>
        <w:spacing w:after="0" w:line="240" w:lineRule="auto"/>
        <w:jc w:val="both"/>
        <w:rPr>
          <w:rFonts w:ascii="Times New Roman" w:hAnsi="Times New Roman"/>
        </w:rPr>
      </w:pPr>
    </w:p>
    <w:p w14:paraId="7D330653" w14:textId="77777777" w:rsidR="00911414" w:rsidRPr="00235530" w:rsidRDefault="00911414" w:rsidP="00370BC0">
      <w:pPr>
        <w:spacing w:after="0" w:line="240" w:lineRule="auto"/>
        <w:jc w:val="both"/>
        <w:rPr>
          <w:rFonts w:ascii="Times New Roman" w:hAnsi="Times New Roman"/>
        </w:rPr>
      </w:pPr>
      <w:r w:rsidRPr="00235530">
        <w:rPr>
          <w:rFonts w:ascii="Times New Roman" w:hAnsi="Times New Roman"/>
        </w:rPr>
        <w:t>Inspektori Ministarstva financija koji obavljaju financijski nadzor u području koncesija, mogu navedeni nadzor obavljati samostalno nad koncesionarom koji ne izvršava obveze u skladu s ugovorom o koncesiji i posebnim propisima, temeljem podataka iz Registra koncesija, prijava, zahtjeva nadležnih državnih odvjetništava, kao i na zahtjev davatelja koncesije. Postupak nadzora se može pokrenuti i kod onih fizičkih i pravnih osoba za koje se po prijavi ili na drugi način saznalo da postoji sumnja da obavljaju djelatnost za koje je potrebna koncesija, bez dodijeljene koncesije.</w:t>
      </w:r>
    </w:p>
    <w:p w14:paraId="7D330654" w14:textId="77777777" w:rsidR="00911414" w:rsidRPr="00235530" w:rsidRDefault="00911414" w:rsidP="00370BC0">
      <w:pPr>
        <w:spacing w:after="0" w:line="240" w:lineRule="auto"/>
        <w:jc w:val="both"/>
        <w:rPr>
          <w:rFonts w:ascii="Times New Roman" w:hAnsi="Times New Roman"/>
        </w:rPr>
      </w:pPr>
    </w:p>
    <w:p w14:paraId="7D330655" w14:textId="77777777" w:rsidR="00911414" w:rsidRPr="00235530" w:rsidRDefault="00911414" w:rsidP="00370BC0">
      <w:pPr>
        <w:spacing w:after="0" w:line="240" w:lineRule="auto"/>
        <w:jc w:val="both"/>
        <w:rPr>
          <w:rFonts w:ascii="Times New Roman" w:hAnsi="Times New Roman"/>
        </w:rPr>
      </w:pPr>
      <w:r w:rsidRPr="00235530">
        <w:rPr>
          <w:rFonts w:ascii="Times New Roman" w:hAnsi="Times New Roman"/>
        </w:rPr>
        <w:t xml:space="preserve">Po obavljenom financijskom nadzoru inspektor u konačnici donosi rješenje temeljem odredbi Zakona o koncesijama, Zakona o općem upravnom postupku i Općem poreznom zakonu kojim nalaže uplate iznosa neplaćene ili manje plaćene naknade za koncesiju u nadležni proračun/proračune ili na račun pravne osobe davatelja koncesije. </w:t>
      </w:r>
    </w:p>
    <w:p w14:paraId="7D330656" w14:textId="77777777" w:rsidR="00911414" w:rsidRPr="00235530" w:rsidRDefault="00911414" w:rsidP="001810B8">
      <w:pPr>
        <w:spacing w:after="0" w:line="240" w:lineRule="auto"/>
        <w:jc w:val="both"/>
        <w:rPr>
          <w:rFonts w:ascii="Times New Roman" w:hAnsi="Times New Roman"/>
        </w:rPr>
      </w:pPr>
    </w:p>
    <w:p w14:paraId="7D330657" w14:textId="77777777" w:rsidR="001810B8" w:rsidRDefault="001810B8" w:rsidP="001810B8">
      <w:pPr>
        <w:spacing w:after="0" w:line="240" w:lineRule="auto"/>
        <w:jc w:val="both"/>
        <w:rPr>
          <w:rFonts w:ascii="Times New Roman" w:eastAsia="Times New Roman" w:hAnsi="Times New Roman"/>
          <w:lang w:eastAsia="hr-HR"/>
        </w:rPr>
      </w:pPr>
      <w:r w:rsidRPr="00D1757F">
        <w:rPr>
          <w:rFonts w:ascii="Times New Roman" w:eastAsia="Times New Roman" w:hAnsi="Times New Roman"/>
          <w:lang w:eastAsia="hr-HR"/>
        </w:rPr>
        <w:t>Ovlašteni službenici Carinske uprave su tijekom 201</w:t>
      </w:r>
      <w:r w:rsidR="004252E0">
        <w:rPr>
          <w:rFonts w:ascii="Times New Roman" w:eastAsia="Times New Roman" w:hAnsi="Times New Roman"/>
          <w:lang w:eastAsia="hr-HR"/>
        </w:rPr>
        <w:t>9</w:t>
      </w:r>
      <w:r w:rsidRPr="00D1757F">
        <w:rPr>
          <w:rFonts w:ascii="Times New Roman" w:eastAsia="Times New Roman" w:hAnsi="Times New Roman"/>
          <w:lang w:eastAsia="hr-HR"/>
        </w:rPr>
        <w:t xml:space="preserve">. godine obavili ukupno </w:t>
      </w:r>
      <w:r w:rsidR="004252E0">
        <w:rPr>
          <w:rFonts w:ascii="Times New Roman" w:eastAsia="Times New Roman" w:hAnsi="Times New Roman"/>
          <w:lang w:eastAsia="hr-HR"/>
        </w:rPr>
        <w:t>112</w:t>
      </w:r>
      <w:r w:rsidRPr="00D1757F">
        <w:rPr>
          <w:rFonts w:ascii="Times New Roman" w:eastAsia="Times New Roman" w:hAnsi="Times New Roman"/>
          <w:lang w:eastAsia="hr-HR"/>
        </w:rPr>
        <w:t xml:space="preserve"> nadzora iz područja koncesija od toga su u </w:t>
      </w:r>
      <w:r w:rsidR="004252E0">
        <w:rPr>
          <w:rFonts w:ascii="Times New Roman" w:eastAsia="Times New Roman" w:hAnsi="Times New Roman"/>
          <w:lang w:eastAsia="hr-HR"/>
        </w:rPr>
        <w:t>75</w:t>
      </w:r>
      <w:r w:rsidRPr="00D1757F">
        <w:rPr>
          <w:rFonts w:ascii="Times New Roman" w:eastAsia="Times New Roman" w:hAnsi="Times New Roman"/>
          <w:lang w:eastAsia="hr-HR"/>
        </w:rPr>
        <w:t xml:space="preserve"> nadzora utvrđene nepravilnosti, </w:t>
      </w:r>
      <w:r w:rsidR="00CF5CE4" w:rsidRPr="00D1757F">
        <w:rPr>
          <w:rFonts w:ascii="Times New Roman" w:eastAsia="Times New Roman" w:hAnsi="Times New Roman"/>
          <w:lang w:eastAsia="hr-HR"/>
        </w:rPr>
        <w:t>novo</w:t>
      </w:r>
      <w:r w:rsidRPr="00D1757F">
        <w:rPr>
          <w:rFonts w:ascii="Times New Roman" w:eastAsia="Times New Roman" w:hAnsi="Times New Roman"/>
          <w:lang w:eastAsia="hr-HR"/>
        </w:rPr>
        <w:t xml:space="preserve">utvrđene obveze iznosile su </w:t>
      </w:r>
      <w:r w:rsidR="004252E0">
        <w:rPr>
          <w:rFonts w:ascii="Times New Roman" w:eastAsia="Times New Roman" w:hAnsi="Times New Roman"/>
          <w:lang w:eastAsia="hr-HR"/>
        </w:rPr>
        <w:t>17.588.390,41</w:t>
      </w:r>
      <w:r w:rsidR="00334B0C" w:rsidRPr="00D1757F">
        <w:rPr>
          <w:rFonts w:ascii="Times New Roman" w:eastAsia="Times New Roman" w:hAnsi="Times New Roman"/>
          <w:lang w:eastAsia="hr-HR"/>
        </w:rPr>
        <w:t xml:space="preserve"> kuna</w:t>
      </w:r>
      <w:r w:rsidR="004252E0">
        <w:rPr>
          <w:rFonts w:ascii="Times New Roman" w:eastAsia="Times New Roman" w:hAnsi="Times New Roman"/>
          <w:lang w:eastAsia="hr-HR"/>
        </w:rPr>
        <w:t xml:space="preserve"> s kamatama.</w:t>
      </w:r>
    </w:p>
    <w:p w14:paraId="7D330658" w14:textId="77777777" w:rsidR="004252E0" w:rsidRPr="00D1757F" w:rsidRDefault="004252E0" w:rsidP="001810B8">
      <w:pPr>
        <w:spacing w:after="0" w:line="240" w:lineRule="auto"/>
        <w:jc w:val="both"/>
        <w:rPr>
          <w:rFonts w:ascii="Times New Roman" w:eastAsia="Times New Roman" w:hAnsi="Times New Roman"/>
          <w:lang w:eastAsia="hr-HR"/>
        </w:rPr>
      </w:pPr>
    </w:p>
    <w:p w14:paraId="7D330659" w14:textId="77777777" w:rsidR="004252E0" w:rsidRDefault="001810B8" w:rsidP="001810B8">
      <w:pPr>
        <w:spacing w:after="0" w:line="240" w:lineRule="auto"/>
        <w:jc w:val="both"/>
        <w:rPr>
          <w:rFonts w:ascii="Times New Roman" w:eastAsia="Times New Roman" w:hAnsi="Times New Roman"/>
          <w:lang w:eastAsia="hr-HR"/>
        </w:rPr>
      </w:pPr>
      <w:r w:rsidRPr="00D1757F">
        <w:rPr>
          <w:rFonts w:ascii="Times New Roman" w:eastAsia="Times New Roman" w:hAnsi="Times New Roman"/>
          <w:lang w:eastAsia="hr-HR"/>
        </w:rPr>
        <w:t>U 201</w:t>
      </w:r>
      <w:r w:rsidR="004252E0">
        <w:rPr>
          <w:rFonts w:ascii="Times New Roman" w:eastAsia="Times New Roman" w:hAnsi="Times New Roman"/>
          <w:lang w:eastAsia="hr-HR"/>
        </w:rPr>
        <w:t>9</w:t>
      </w:r>
      <w:r w:rsidRPr="00D1757F">
        <w:rPr>
          <w:rFonts w:ascii="Times New Roman" w:eastAsia="Times New Roman" w:hAnsi="Times New Roman"/>
          <w:lang w:eastAsia="hr-HR"/>
        </w:rPr>
        <w:t xml:space="preserve">. godini </w:t>
      </w:r>
      <w:r w:rsidR="00CF5CE4" w:rsidRPr="00D1757F">
        <w:rPr>
          <w:rFonts w:ascii="Times New Roman" w:eastAsia="Times New Roman" w:hAnsi="Times New Roman"/>
          <w:lang w:eastAsia="hr-HR"/>
        </w:rPr>
        <w:t>doneseno</w:t>
      </w:r>
      <w:r w:rsidRPr="00D1757F">
        <w:rPr>
          <w:rFonts w:ascii="Times New Roman" w:eastAsia="Times New Roman" w:hAnsi="Times New Roman"/>
          <w:lang w:eastAsia="hr-HR"/>
        </w:rPr>
        <w:t xml:space="preserve"> </w:t>
      </w:r>
      <w:r w:rsidR="00CF5CE4" w:rsidRPr="00D1757F">
        <w:rPr>
          <w:rFonts w:ascii="Times New Roman" w:eastAsia="Times New Roman" w:hAnsi="Times New Roman"/>
          <w:lang w:eastAsia="hr-HR"/>
        </w:rPr>
        <w:t>je</w:t>
      </w:r>
      <w:r w:rsidRPr="00D1757F">
        <w:rPr>
          <w:rFonts w:ascii="Times New Roman" w:eastAsia="Times New Roman" w:hAnsi="Times New Roman"/>
          <w:lang w:eastAsia="hr-HR"/>
        </w:rPr>
        <w:t xml:space="preserve"> </w:t>
      </w:r>
      <w:r w:rsidR="004252E0">
        <w:rPr>
          <w:rFonts w:ascii="Times New Roman" w:eastAsia="Times New Roman" w:hAnsi="Times New Roman"/>
          <w:lang w:eastAsia="hr-HR"/>
        </w:rPr>
        <w:t>60</w:t>
      </w:r>
      <w:r w:rsidRPr="00D1757F">
        <w:rPr>
          <w:rFonts w:ascii="Times New Roman" w:eastAsia="Times New Roman" w:hAnsi="Times New Roman"/>
          <w:lang w:eastAsia="hr-HR"/>
        </w:rPr>
        <w:t xml:space="preserve"> rješenj</w:t>
      </w:r>
      <w:r w:rsidR="00CF5CE4" w:rsidRPr="00D1757F">
        <w:rPr>
          <w:rFonts w:ascii="Times New Roman" w:eastAsia="Times New Roman" w:hAnsi="Times New Roman"/>
          <w:lang w:eastAsia="hr-HR"/>
        </w:rPr>
        <w:t xml:space="preserve">e, </w:t>
      </w:r>
      <w:r w:rsidR="004252E0">
        <w:rPr>
          <w:rFonts w:ascii="Times New Roman" w:eastAsia="Times New Roman" w:hAnsi="Times New Roman"/>
          <w:lang w:eastAsia="hr-HR"/>
        </w:rPr>
        <w:t>izrečena</w:t>
      </w:r>
      <w:r w:rsidRPr="00D1757F">
        <w:rPr>
          <w:rFonts w:ascii="Times New Roman" w:eastAsia="Times New Roman" w:hAnsi="Times New Roman"/>
          <w:lang w:eastAsia="hr-HR"/>
        </w:rPr>
        <w:t xml:space="preserve"> </w:t>
      </w:r>
      <w:r w:rsidR="004252E0">
        <w:rPr>
          <w:rFonts w:ascii="Times New Roman" w:eastAsia="Times New Roman" w:hAnsi="Times New Roman"/>
          <w:lang w:eastAsia="hr-HR"/>
        </w:rPr>
        <w:t>su</w:t>
      </w:r>
      <w:r w:rsidRPr="00D1757F">
        <w:rPr>
          <w:rFonts w:ascii="Times New Roman" w:eastAsia="Times New Roman" w:hAnsi="Times New Roman"/>
          <w:lang w:eastAsia="hr-HR"/>
        </w:rPr>
        <w:t xml:space="preserve"> </w:t>
      </w:r>
      <w:r w:rsidR="004252E0">
        <w:rPr>
          <w:rFonts w:ascii="Times New Roman" w:eastAsia="Times New Roman" w:hAnsi="Times New Roman"/>
          <w:lang w:eastAsia="hr-HR"/>
        </w:rPr>
        <w:t>34 prekršajna</w:t>
      </w:r>
      <w:r w:rsidRPr="00D1757F">
        <w:rPr>
          <w:rFonts w:ascii="Times New Roman" w:eastAsia="Times New Roman" w:hAnsi="Times New Roman"/>
          <w:lang w:eastAsia="hr-HR"/>
        </w:rPr>
        <w:t xml:space="preserve"> naloga sa ukupnim iznosom prekršajne kazne od </w:t>
      </w:r>
      <w:r w:rsidR="004252E0">
        <w:rPr>
          <w:rFonts w:ascii="Times New Roman" w:eastAsia="Times New Roman" w:hAnsi="Times New Roman"/>
          <w:lang w:eastAsia="hr-HR"/>
        </w:rPr>
        <w:t>947.150,00</w:t>
      </w:r>
      <w:r w:rsidRPr="00D1757F">
        <w:rPr>
          <w:rFonts w:ascii="Times New Roman" w:eastAsia="Times New Roman" w:hAnsi="Times New Roman"/>
          <w:lang w:eastAsia="hr-HR"/>
        </w:rPr>
        <w:t xml:space="preserve"> kun</w:t>
      </w:r>
      <w:r w:rsidR="00CF5CE4" w:rsidRPr="00D1757F">
        <w:rPr>
          <w:rFonts w:ascii="Times New Roman" w:eastAsia="Times New Roman" w:hAnsi="Times New Roman"/>
          <w:lang w:eastAsia="hr-HR"/>
        </w:rPr>
        <w:t>a</w:t>
      </w:r>
      <w:r w:rsidRPr="00D1757F">
        <w:rPr>
          <w:rFonts w:ascii="Times New Roman" w:eastAsia="Times New Roman" w:hAnsi="Times New Roman"/>
          <w:lang w:eastAsia="hr-HR"/>
        </w:rPr>
        <w:t xml:space="preserve">. </w:t>
      </w:r>
      <w:r w:rsidR="004252E0">
        <w:rPr>
          <w:rFonts w:ascii="Times New Roman" w:eastAsia="Times New Roman" w:hAnsi="Times New Roman"/>
          <w:lang w:eastAsia="hr-HR"/>
        </w:rPr>
        <w:t xml:space="preserve"> U istom razdoblju protiv donesenih tješenja pokrenuto je 16 upravnih sporova.</w:t>
      </w:r>
    </w:p>
    <w:p w14:paraId="7D33065A" w14:textId="77777777" w:rsidR="004252E0" w:rsidRDefault="004252E0" w:rsidP="001810B8">
      <w:pPr>
        <w:spacing w:after="0" w:line="240" w:lineRule="auto"/>
        <w:jc w:val="both"/>
        <w:rPr>
          <w:rFonts w:ascii="Times New Roman" w:eastAsia="Times New Roman" w:hAnsi="Times New Roman"/>
          <w:lang w:eastAsia="hr-HR"/>
        </w:rPr>
      </w:pPr>
    </w:p>
    <w:p w14:paraId="7D33065B" w14:textId="77777777" w:rsidR="001810B8" w:rsidRPr="00D1757F" w:rsidRDefault="001810B8" w:rsidP="001810B8">
      <w:pPr>
        <w:spacing w:after="0" w:line="240" w:lineRule="auto"/>
        <w:jc w:val="both"/>
        <w:rPr>
          <w:rFonts w:ascii="Times New Roman" w:eastAsia="Times New Roman" w:hAnsi="Times New Roman"/>
          <w:lang w:eastAsia="hr-HR"/>
        </w:rPr>
      </w:pPr>
      <w:r w:rsidRPr="00D1757F">
        <w:rPr>
          <w:rFonts w:ascii="Times New Roman" w:eastAsia="Times New Roman" w:hAnsi="Times New Roman"/>
          <w:lang w:eastAsia="hr-HR"/>
        </w:rPr>
        <w:t xml:space="preserve">Utvrđena je protupravno stečena imovinska korist u iznosu od </w:t>
      </w:r>
      <w:r w:rsidR="004252E0">
        <w:rPr>
          <w:rFonts w:ascii="Times New Roman" w:eastAsia="Times New Roman" w:hAnsi="Times New Roman"/>
          <w:lang w:eastAsia="hr-HR"/>
        </w:rPr>
        <w:t>7.352.219,95</w:t>
      </w:r>
      <w:r w:rsidRPr="00D1757F">
        <w:rPr>
          <w:rFonts w:ascii="Times New Roman" w:eastAsia="Times New Roman" w:hAnsi="Times New Roman"/>
          <w:lang w:eastAsia="hr-HR"/>
        </w:rPr>
        <w:t xml:space="preserve"> kuna.</w:t>
      </w:r>
      <w:r w:rsidR="00D1757F">
        <w:rPr>
          <w:rFonts w:ascii="Times New Roman" w:eastAsia="Times New Roman" w:hAnsi="Times New Roman"/>
          <w:lang w:eastAsia="hr-HR"/>
        </w:rPr>
        <w:t xml:space="preserve"> </w:t>
      </w:r>
      <w:r w:rsidR="004252E0">
        <w:rPr>
          <w:rFonts w:ascii="Times New Roman" w:eastAsia="Times New Roman" w:hAnsi="Times New Roman"/>
          <w:lang w:eastAsia="hr-HR"/>
        </w:rPr>
        <w:t>Isto tako u navedenom razdoblju naplaćeno je u tijeku nadzora 17.648.483,94 kuna obveza i imovinske koristi. Nadležnim Državnim odvjetništvima dostavljane su obavijesti i zapisnici o obavljenim nadzorima u 28 predmeta.</w:t>
      </w:r>
    </w:p>
    <w:p w14:paraId="7D33065C" w14:textId="77777777" w:rsidR="00D1757F" w:rsidRDefault="00D1757F" w:rsidP="001810B8">
      <w:pPr>
        <w:spacing w:after="0" w:line="240" w:lineRule="auto"/>
        <w:jc w:val="both"/>
        <w:rPr>
          <w:rFonts w:ascii="Times New Roman" w:eastAsia="Times New Roman" w:hAnsi="Times New Roman"/>
          <w:lang w:eastAsia="hr-HR"/>
        </w:rPr>
      </w:pPr>
    </w:p>
    <w:p w14:paraId="7D33065D" w14:textId="77777777" w:rsidR="00911414" w:rsidRPr="00235530" w:rsidRDefault="00911414" w:rsidP="00370BC0">
      <w:pPr>
        <w:spacing w:after="0" w:line="240" w:lineRule="auto"/>
        <w:jc w:val="both"/>
        <w:rPr>
          <w:rFonts w:ascii="Times New Roman" w:hAnsi="Times New Roman"/>
        </w:rPr>
      </w:pPr>
      <w:r w:rsidRPr="00235530">
        <w:rPr>
          <w:rFonts w:ascii="Times New Roman" w:hAnsi="Times New Roman"/>
        </w:rPr>
        <w:t xml:space="preserve">Svakako, a u pogledu dugovanja treba istaći kako je nemali broj koncesionara s iskazanim iznosima velikih dugovanja </w:t>
      </w:r>
      <w:r w:rsidR="000E58DF" w:rsidRPr="00235530">
        <w:rPr>
          <w:rFonts w:ascii="Times New Roman" w:hAnsi="Times New Roman"/>
        </w:rPr>
        <w:t>zapa</w:t>
      </w:r>
      <w:r w:rsidR="001810B8" w:rsidRPr="00235530">
        <w:rPr>
          <w:rFonts w:ascii="Times New Roman" w:hAnsi="Times New Roman"/>
        </w:rPr>
        <w:t xml:space="preserve">o u </w:t>
      </w:r>
      <w:r w:rsidRPr="00235530">
        <w:rPr>
          <w:rFonts w:ascii="Times New Roman" w:hAnsi="Times New Roman"/>
        </w:rPr>
        <w:t>teškoće, te se sukladno zakonskim propisima pojavljuju i koncesionari koji se nalaze u predstečajnim nagodbama, odnosno samom postupku stečaja što utječe i na postupanja nadležnih inspekcijskih službi. Uvažavajući navedene okolnosti, problematika ovakvih poduzetnika mora biti na pravilan način prepoznata, a u konačnici i kroz provedbu predstečajnih nagodbi i/li stečajnih postupaka može se očekivati kako će određeni broj koncesionara stvoriti uvjete daljnjem poslovanju koje neće pratiti potreba bilo kakve intervencije države. Ukoliko se isto ne ostvari, sami davatelji nužno moraju poduzimati mjere raskida ugovora o koncesijama, a u većoj mjeri negoli je to bio slučaj u dosadašnjoj praksi. Isto je posebice važno istaknuti, a polazeći od odgovornosti svakog davatelja pojedinačno.</w:t>
      </w:r>
    </w:p>
    <w:p w14:paraId="7D33065E" w14:textId="77777777" w:rsidR="00911414" w:rsidRPr="00235530" w:rsidRDefault="00911414" w:rsidP="00370BC0">
      <w:pPr>
        <w:spacing w:after="0" w:line="240" w:lineRule="auto"/>
        <w:jc w:val="both"/>
        <w:rPr>
          <w:rFonts w:ascii="Times New Roman" w:hAnsi="Times New Roman"/>
        </w:rPr>
      </w:pPr>
    </w:p>
    <w:p w14:paraId="7D33065F" w14:textId="77777777" w:rsidR="00911414" w:rsidRPr="00235530" w:rsidRDefault="00911414" w:rsidP="00370BC0">
      <w:pPr>
        <w:spacing w:after="0" w:line="240" w:lineRule="auto"/>
        <w:jc w:val="both"/>
        <w:rPr>
          <w:rFonts w:ascii="Times New Roman" w:hAnsi="Times New Roman"/>
        </w:rPr>
      </w:pPr>
    </w:p>
    <w:p w14:paraId="7D330660" w14:textId="77777777" w:rsidR="00711887" w:rsidRPr="00235530" w:rsidRDefault="00711887" w:rsidP="00370BC0">
      <w:pPr>
        <w:spacing w:after="0" w:line="240" w:lineRule="auto"/>
        <w:jc w:val="both"/>
        <w:rPr>
          <w:rFonts w:ascii="Times New Roman" w:hAnsi="Times New Roman"/>
        </w:rPr>
      </w:pPr>
    </w:p>
    <w:p w14:paraId="7D330661" w14:textId="77777777" w:rsidR="00C13CE0" w:rsidRPr="00D11465" w:rsidRDefault="00C13CE0" w:rsidP="009F3108">
      <w:pPr>
        <w:pStyle w:val="Heading1"/>
        <w:rPr>
          <w:rStyle w:val="IntenseReference"/>
          <w:rFonts w:ascii="Times New Roman" w:hAnsi="Times New Roman" w:cs="Times New Roman"/>
          <w:b/>
          <w:color w:val="auto"/>
          <w:sz w:val="24"/>
          <w:szCs w:val="24"/>
        </w:rPr>
      </w:pPr>
      <w:bookmarkStart w:id="17" w:name="_Toc526419507"/>
      <w:r w:rsidRPr="00D11465">
        <w:rPr>
          <w:rStyle w:val="IntenseReference"/>
          <w:rFonts w:ascii="Times New Roman" w:hAnsi="Times New Roman" w:cs="Times New Roman"/>
          <w:b/>
          <w:color w:val="auto"/>
          <w:sz w:val="24"/>
          <w:szCs w:val="24"/>
        </w:rPr>
        <w:t>7. AKTIVNOSTI U DEFINIRANJU POLITIKE KONCESIJA U 201</w:t>
      </w:r>
      <w:r w:rsidR="004252E0">
        <w:rPr>
          <w:rStyle w:val="IntenseReference"/>
          <w:rFonts w:ascii="Times New Roman" w:hAnsi="Times New Roman" w:cs="Times New Roman"/>
          <w:b/>
          <w:color w:val="auto"/>
          <w:sz w:val="24"/>
          <w:szCs w:val="24"/>
        </w:rPr>
        <w:t>9</w:t>
      </w:r>
      <w:r w:rsidRPr="00D11465">
        <w:rPr>
          <w:rStyle w:val="IntenseReference"/>
          <w:rFonts w:ascii="Times New Roman" w:hAnsi="Times New Roman" w:cs="Times New Roman"/>
          <w:b/>
          <w:color w:val="auto"/>
          <w:sz w:val="24"/>
          <w:szCs w:val="24"/>
        </w:rPr>
        <w:t>. GODINI I PODUZIMANJE MJERA TIJEKOM  20</w:t>
      </w:r>
      <w:r w:rsidR="004252E0">
        <w:rPr>
          <w:rStyle w:val="IntenseReference"/>
          <w:rFonts w:ascii="Times New Roman" w:hAnsi="Times New Roman" w:cs="Times New Roman"/>
          <w:b/>
          <w:color w:val="auto"/>
          <w:sz w:val="24"/>
          <w:szCs w:val="24"/>
        </w:rPr>
        <w:t>20</w:t>
      </w:r>
      <w:r w:rsidRPr="00D11465">
        <w:rPr>
          <w:rStyle w:val="IntenseReference"/>
          <w:rFonts w:ascii="Times New Roman" w:hAnsi="Times New Roman" w:cs="Times New Roman"/>
          <w:b/>
          <w:color w:val="auto"/>
          <w:sz w:val="24"/>
          <w:szCs w:val="24"/>
        </w:rPr>
        <w:t>. GODINE U SUSTAVU KONCESIJA</w:t>
      </w:r>
      <w:bookmarkEnd w:id="17"/>
    </w:p>
    <w:p w14:paraId="7D330662" w14:textId="77777777" w:rsidR="00C13CE0" w:rsidRPr="00D11465" w:rsidRDefault="00C13CE0" w:rsidP="00C13CE0">
      <w:pPr>
        <w:spacing w:after="0" w:line="240" w:lineRule="auto"/>
        <w:jc w:val="both"/>
        <w:rPr>
          <w:rFonts w:ascii="Times New Roman" w:hAnsi="Times New Roman"/>
          <w:b/>
        </w:rPr>
      </w:pPr>
    </w:p>
    <w:p w14:paraId="7D330663" w14:textId="77777777" w:rsidR="00C13CE0" w:rsidRPr="00D11465" w:rsidRDefault="00C13CE0" w:rsidP="00C13CE0">
      <w:pPr>
        <w:spacing w:after="0" w:line="240" w:lineRule="auto"/>
        <w:jc w:val="both"/>
        <w:rPr>
          <w:rFonts w:ascii="Times New Roman" w:hAnsi="Times New Roman"/>
        </w:rPr>
      </w:pPr>
      <w:r w:rsidRPr="00D11465">
        <w:rPr>
          <w:rFonts w:ascii="Times New Roman" w:hAnsi="Times New Roman"/>
        </w:rPr>
        <w:t xml:space="preserve">Politika koncesija u najvećoj mogućoj mjeri usmjerena je ka povezivanju i uspostavi veće suradnje svih </w:t>
      </w:r>
      <w:r w:rsidR="00E417D7" w:rsidRPr="00D11465">
        <w:rPr>
          <w:rFonts w:ascii="Times New Roman" w:hAnsi="Times New Roman"/>
        </w:rPr>
        <w:t xml:space="preserve">sudionika </w:t>
      </w:r>
      <w:r w:rsidRPr="00D11465">
        <w:rPr>
          <w:rFonts w:ascii="Times New Roman" w:hAnsi="Times New Roman"/>
        </w:rPr>
        <w:t>u kreiranju i razvoju efikasnog sustava koncesija u Republici Hrvatskoj .</w:t>
      </w:r>
    </w:p>
    <w:p w14:paraId="7D330664" w14:textId="77777777" w:rsidR="00C13CE0" w:rsidRPr="00D11465" w:rsidRDefault="00C13CE0" w:rsidP="00C13CE0">
      <w:pPr>
        <w:spacing w:after="0" w:line="240" w:lineRule="auto"/>
        <w:jc w:val="both"/>
        <w:rPr>
          <w:rFonts w:ascii="Times New Roman" w:hAnsi="Times New Roman"/>
        </w:rPr>
      </w:pPr>
    </w:p>
    <w:p w14:paraId="7D330665" w14:textId="77777777" w:rsidR="00C13CE0" w:rsidRPr="00D11465" w:rsidRDefault="00C13CE0" w:rsidP="00C13CE0">
      <w:pPr>
        <w:spacing w:after="0" w:line="240" w:lineRule="auto"/>
        <w:jc w:val="both"/>
        <w:rPr>
          <w:rFonts w:ascii="Times New Roman" w:hAnsi="Times New Roman"/>
        </w:rPr>
      </w:pPr>
      <w:r w:rsidRPr="00D11465">
        <w:rPr>
          <w:rFonts w:ascii="Times New Roman" w:hAnsi="Times New Roman"/>
        </w:rPr>
        <w:lastRenderedPageBreak/>
        <w:t xml:space="preserve">Davateljima koncesija omogućena je provedba adekvatnih analiza radi izrade okvira ka uspješnom davanju koncesija. Zakon o koncesijama propisao je jasan postupak za davanje koncesije, a davatelj koncesije je dužan kroz studije opravdanosti davanja koncesije predvidjeti uravnotežen sustav između naknada za koncesije i vrijednosti predmeta koncesije. </w:t>
      </w:r>
    </w:p>
    <w:p w14:paraId="7D330666" w14:textId="77777777" w:rsidR="00C13CE0" w:rsidRPr="00D11465" w:rsidRDefault="00C13CE0" w:rsidP="00C13CE0">
      <w:pPr>
        <w:spacing w:after="0" w:line="240" w:lineRule="auto"/>
        <w:jc w:val="both"/>
        <w:rPr>
          <w:rFonts w:ascii="Times New Roman" w:hAnsi="Times New Roman"/>
        </w:rPr>
      </w:pPr>
    </w:p>
    <w:p w14:paraId="7D330667" w14:textId="77777777" w:rsidR="00C13CE0" w:rsidRPr="00D11465" w:rsidRDefault="00C13CE0" w:rsidP="00C13CE0">
      <w:pPr>
        <w:spacing w:line="240" w:lineRule="auto"/>
        <w:jc w:val="both"/>
        <w:rPr>
          <w:rFonts w:ascii="Times New Roman" w:hAnsi="Times New Roman"/>
        </w:rPr>
      </w:pPr>
      <w:r w:rsidRPr="00D11465">
        <w:rPr>
          <w:rFonts w:ascii="Times New Roman" w:hAnsi="Times New Roman"/>
        </w:rPr>
        <w:t xml:space="preserve">Aktivnosti </w:t>
      </w:r>
      <w:r w:rsidR="00C44F93" w:rsidRPr="00D11465">
        <w:rPr>
          <w:rFonts w:ascii="Times New Roman" w:hAnsi="Times New Roman"/>
        </w:rPr>
        <w:t>Ministarstva financija</w:t>
      </w:r>
      <w:r w:rsidRPr="00D11465">
        <w:rPr>
          <w:rFonts w:ascii="Times New Roman" w:hAnsi="Times New Roman"/>
        </w:rPr>
        <w:t xml:space="preserve"> biti će usmjerena na jačanje provedbe nadzora nad izvršenjem preuzetih obveza ugovorom o koncesijama, kao i sankcioniranje obavljanja djelatnosti koja se obavlja bez dodijeljene koncesije. </w:t>
      </w:r>
    </w:p>
    <w:p w14:paraId="7D330668" w14:textId="77777777" w:rsidR="00C13CE0" w:rsidRPr="00D11465" w:rsidRDefault="00C13CE0" w:rsidP="00C13CE0">
      <w:pPr>
        <w:spacing w:after="0" w:line="240" w:lineRule="auto"/>
        <w:jc w:val="both"/>
        <w:rPr>
          <w:rFonts w:ascii="Times New Roman" w:hAnsi="Times New Roman"/>
          <w:b/>
        </w:rPr>
      </w:pPr>
      <w:r w:rsidRPr="00D11465">
        <w:rPr>
          <w:rFonts w:ascii="Times New Roman" w:hAnsi="Times New Roman"/>
          <w:b/>
        </w:rPr>
        <w:t>7.1. Poduzete mjere i aktivnosti</w:t>
      </w:r>
    </w:p>
    <w:p w14:paraId="7D330669" w14:textId="77777777" w:rsidR="00C13CE0" w:rsidRPr="00D11465" w:rsidRDefault="00C13CE0" w:rsidP="00C13CE0">
      <w:pPr>
        <w:spacing w:after="0" w:line="240" w:lineRule="auto"/>
        <w:jc w:val="both"/>
        <w:rPr>
          <w:rFonts w:ascii="Times New Roman" w:hAnsi="Times New Roman"/>
          <w:iCs/>
        </w:rPr>
      </w:pPr>
    </w:p>
    <w:p w14:paraId="7D33066A" w14:textId="77777777" w:rsidR="00B45873" w:rsidRPr="00D11465" w:rsidRDefault="00C13CE0" w:rsidP="00C13CE0">
      <w:pPr>
        <w:spacing w:after="0" w:line="240" w:lineRule="auto"/>
        <w:jc w:val="both"/>
        <w:rPr>
          <w:rFonts w:ascii="Times New Roman" w:hAnsi="Times New Roman"/>
        </w:rPr>
      </w:pPr>
      <w:r w:rsidRPr="00D11465">
        <w:rPr>
          <w:rFonts w:ascii="Times New Roman" w:hAnsi="Times New Roman"/>
        </w:rPr>
        <w:t>Ministarstvo financija u skladu s politikom koncesija nastoji poticati davatelje koncesija na poduzimanje mjera koje će omogućiti stvaranje uvjeta za stalno praćenje izvršavanja obveza koncesionara</w:t>
      </w:r>
      <w:r w:rsidR="00B45873" w:rsidRPr="00D11465">
        <w:rPr>
          <w:rFonts w:ascii="Times New Roman" w:hAnsi="Times New Roman"/>
        </w:rPr>
        <w:t>.</w:t>
      </w:r>
    </w:p>
    <w:p w14:paraId="7D33066B" w14:textId="77777777" w:rsidR="00C13CE0" w:rsidRPr="00D11465" w:rsidRDefault="00C13CE0" w:rsidP="00C13CE0">
      <w:pPr>
        <w:spacing w:after="0" w:line="240" w:lineRule="auto"/>
        <w:jc w:val="both"/>
        <w:rPr>
          <w:rFonts w:ascii="Times New Roman" w:hAnsi="Times New Roman"/>
        </w:rPr>
      </w:pPr>
    </w:p>
    <w:p w14:paraId="7D33066C" w14:textId="77777777" w:rsidR="00C13CE0" w:rsidRPr="00D11465" w:rsidRDefault="00C13CE0" w:rsidP="00C13CE0">
      <w:pPr>
        <w:spacing w:after="0" w:line="240" w:lineRule="auto"/>
        <w:jc w:val="both"/>
        <w:rPr>
          <w:rFonts w:ascii="Times New Roman" w:hAnsi="Times New Roman"/>
          <w:bCs/>
        </w:rPr>
      </w:pPr>
      <w:r w:rsidRPr="00D11465">
        <w:rPr>
          <w:rFonts w:ascii="Times New Roman" w:hAnsi="Times New Roman"/>
          <w:bCs/>
        </w:rPr>
        <w:t xml:space="preserve">Naknadu za koncesiju koncesionar je dužan plaćati u iznosu i na način kako je to regulirano ugovorom o koncesiji uz primjenu pripadajućih zakonskih i podzakonskih akata. Sve uplate, a samim time i dugovanja po pojedinom ugovoru o koncesiji evidentiraju se u Registru koncesija, te se na iste obračunava zakonska zatezna kamata. </w:t>
      </w:r>
    </w:p>
    <w:p w14:paraId="7D33066D" w14:textId="77777777" w:rsidR="00C13CE0" w:rsidRPr="00D11465" w:rsidRDefault="00C13CE0" w:rsidP="00C13CE0">
      <w:pPr>
        <w:spacing w:after="0" w:line="240" w:lineRule="auto"/>
        <w:jc w:val="both"/>
        <w:rPr>
          <w:rFonts w:ascii="Times New Roman" w:hAnsi="Times New Roman"/>
          <w:bCs/>
        </w:rPr>
      </w:pPr>
    </w:p>
    <w:p w14:paraId="7D33066E" w14:textId="77777777" w:rsidR="00C13CE0" w:rsidRPr="00D11465" w:rsidRDefault="00C13CE0" w:rsidP="00C13CE0">
      <w:pPr>
        <w:spacing w:after="0" w:line="240" w:lineRule="auto"/>
        <w:jc w:val="both"/>
        <w:rPr>
          <w:rFonts w:ascii="Times New Roman" w:hAnsi="Times New Roman"/>
        </w:rPr>
      </w:pPr>
      <w:r w:rsidRPr="00D11465">
        <w:rPr>
          <w:rFonts w:ascii="Times New Roman" w:hAnsi="Times New Roman"/>
        </w:rPr>
        <w:t xml:space="preserve">Ministarstvo financija provodeći politiku koncesija u skladu s odredbama Zakona o koncesijama i Pravilnikom o Registru koncesija, davateljima koncesija i koncesionarima šalje Obavijesti o dospjeloj, a nepodmirenoj naknadi za koncesiju, a radi podmirenja obveza od strane koncesionara u skladu s ugovorom o koncesiji. </w:t>
      </w:r>
    </w:p>
    <w:p w14:paraId="7D33066F" w14:textId="77777777" w:rsidR="00C13CE0" w:rsidRPr="00D11465" w:rsidRDefault="00C13CE0" w:rsidP="00C13CE0">
      <w:pPr>
        <w:spacing w:after="0" w:line="240" w:lineRule="auto"/>
        <w:jc w:val="both"/>
        <w:rPr>
          <w:rFonts w:ascii="Times New Roman" w:hAnsi="Times New Roman"/>
        </w:rPr>
      </w:pPr>
    </w:p>
    <w:p w14:paraId="7D330670" w14:textId="77777777" w:rsidR="00C13CE0" w:rsidRPr="00D11465" w:rsidRDefault="00C13CE0" w:rsidP="00C13CE0">
      <w:pPr>
        <w:spacing w:after="0" w:line="240" w:lineRule="auto"/>
        <w:jc w:val="both"/>
        <w:rPr>
          <w:rFonts w:ascii="Times New Roman" w:hAnsi="Times New Roman"/>
          <w:bCs/>
        </w:rPr>
      </w:pPr>
      <w:r w:rsidRPr="00D11465">
        <w:rPr>
          <w:rFonts w:ascii="Times New Roman" w:hAnsi="Times New Roman"/>
          <w:bCs/>
        </w:rPr>
        <w:t xml:space="preserve">Politikom koncesija Ministarstvo financija je obvezalo sve davatelje koncesija da vode brigu o dodijeljenim koncesijama, a što podrazumijeva aktivno praćenja rada koncesionara, te osiguranja uredne naplate koncesijskih naknada, te poduzimanje redovitih mjera u slučajevima neizvršavanja obveza iz ugovora o koncesijama. </w:t>
      </w:r>
    </w:p>
    <w:p w14:paraId="7D330671" w14:textId="77777777" w:rsidR="00C13CE0" w:rsidRPr="00D11465" w:rsidRDefault="00C13CE0" w:rsidP="00C13CE0">
      <w:pPr>
        <w:spacing w:after="0" w:line="240" w:lineRule="auto"/>
        <w:jc w:val="both"/>
        <w:rPr>
          <w:rFonts w:ascii="Times New Roman" w:hAnsi="Times New Roman"/>
          <w:bCs/>
        </w:rPr>
      </w:pPr>
    </w:p>
    <w:p w14:paraId="7D330672" w14:textId="77777777" w:rsidR="00C13CE0" w:rsidRPr="00D11465" w:rsidRDefault="00C13CE0" w:rsidP="00C13CE0">
      <w:pPr>
        <w:spacing w:after="0" w:line="240" w:lineRule="auto"/>
        <w:jc w:val="both"/>
        <w:rPr>
          <w:rFonts w:ascii="Times New Roman" w:hAnsi="Times New Roman"/>
          <w:bCs/>
        </w:rPr>
      </w:pPr>
      <w:r w:rsidRPr="00D11465">
        <w:rPr>
          <w:rFonts w:ascii="Times New Roman" w:hAnsi="Times New Roman"/>
          <w:bCs/>
        </w:rPr>
        <w:t xml:space="preserve">Obveza davatelja koncesija koja proizlazi iz samog Zakona o koncesijama jest voditi brigu o učincima dodijeljenih koncesija, te postupanjima koje provodi pojedini davatelj u okviru svoje nadležnosti ovisno o vrsti koncesije. </w:t>
      </w:r>
    </w:p>
    <w:p w14:paraId="7D330673" w14:textId="77777777" w:rsidR="00C13CE0" w:rsidRPr="00D11465" w:rsidRDefault="00C13CE0" w:rsidP="00C13CE0">
      <w:pPr>
        <w:spacing w:after="0" w:line="240" w:lineRule="auto"/>
        <w:jc w:val="both"/>
        <w:rPr>
          <w:rFonts w:ascii="Times New Roman" w:hAnsi="Times New Roman"/>
          <w:bCs/>
        </w:rPr>
      </w:pPr>
    </w:p>
    <w:p w14:paraId="7D330674" w14:textId="77777777" w:rsidR="00C13CE0" w:rsidRPr="00D11465" w:rsidRDefault="00C13CE0" w:rsidP="00784CDC">
      <w:pPr>
        <w:spacing w:after="0" w:line="240" w:lineRule="auto"/>
        <w:jc w:val="both"/>
        <w:rPr>
          <w:rFonts w:ascii="Times New Roman" w:hAnsi="Times New Roman"/>
          <w:bCs/>
        </w:rPr>
      </w:pPr>
      <w:r w:rsidRPr="00D11465">
        <w:rPr>
          <w:rFonts w:ascii="Times New Roman" w:hAnsi="Times New Roman"/>
          <w:bCs/>
        </w:rPr>
        <w:t>Tijekom 201</w:t>
      </w:r>
      <w:r w:rsidR="004252E0">
        <w:rPr>
          <w:rFonts w:ascii="Times New Roman" w:hAnsi="Times New Roman"/>
          <w:bCs/>
        </w:rPr>
        <w:t>9</w:t>
      </w:r>
      <w:r w:rsidRPr="00D11465">
        <w:rPr>
          <w:rFonts w:ascii="Times New Roman" w:hAnsi="Times New Roman"/>
          <w:bCs/>
        </w:rPr>
        <w:t xml:space="preserve">. godine Ministarstvo financija je poduzimalo određene aktivnosti koje su prvenstveno bile usmjerene ka boljoj naplati koncesijskih naknada, a provođene su u suradnji s djelatnicima Carinske uprave, čime su postignuti određeni napreci i to prvenstveno u pogledu sankcioniranja nezakonitosti rada koncesionara, kao i djelatnosti koje su se obavljale bez ugovora o koncesiji. </w:t>
      </w:r>
    </w:p>
    <w:p w14:paraId="7D330675" w14:textId="77777777" w:rsidR="00784CDC" w:rsidRPr="00D11465" w:rsidRDefault="00784CDC" w:rsidP="00784CDC">
      <w:pPr>
        <w:spacing w:after="0" w:line="240" w:lineRule="auto"/>
        <w:jc w:val="both"/>
        <w:rPr>
          <w:rFonts w:ascii="Times New Roman" w:hAnsi="Times New Roman"/>
          <w:bCs/>
        </w:rPr>
      </w:pPr>
    </w:p>
    <w:p w14:paraId="7D330676" w14:textId="77777777" w:rsidR="00C13CE0" w:rsidRPr="00D11465" w:rsidRDefault="00C13CE0" w:rsidP="00C13CE0">
      <w:pPr>
        <w:spacing w:line="240" w:lineRule="auto"/>
        <w:jc w:val="both"/>
        <w:rPr>
          <w:rFonts w:ascii="Times New Roman" w:hAnsi="Times New Roman"/>
        </w:rPr>
      </w:pPr>
      <w:r w:rsidRPr="00D11465">
        <w:rPr>
          <w:rFonts w:ascii="Times New Roman" w:hAnsi="Times New Roman"/>
        </w:rPr>
        <w:t xml:space="preserve">Obveza  davatelja koncesije prvenstveno je praćenje rada koncesionara kao i izvršavanje njegovih obveza definiranih ugovornim odnosom sadržanim u ugovoru o koncesiji. Obzirom da naknade za koncesiju predstavljaju proračunske </w:t>
      </w:r>
      <w:r w:rsidRPr="00D11465">
        <w:rPr>
          <w:rFonts w:ascii="Times New Roman" w:hAnsi="Times New Roman"/>
          <w:color w:val="000000"/>
        </w:rPr>
        <w:t xml:space="preserve">prihode kako u državnom proračunu tako i proračunu jedinica lokalne i regionalne samouprave, prema raspodjeli propisanoj </w:t>
      </w:r>
      <w:r w:rsidRPr="00D11465">
        <w:rPr>
          <w:rFonts w:ascii="Times New Roman" w:hAnsi="Times New Roman"/>
        </w:rPr>
        <w:t xml:space="preserve">posebnim zakonima, nužno je aktivnije postupanje davatelja koncesije u smislu propisane odgovornosti u dijelu koji se odnosi na nadzor nad koncesionarima u izvršavanju obveza preuzetih ugovorima o koncesiji. </w:t>
      </w:r>
    </w:p>
    <w:p w14:paraId="7D330677" w14:textId="77777777" w:rsidR="00C13CE0" w:rsidRPr="00D11465" w:rsidRDefault="00C13CE0" w:rsidP="00D11465">
      <w:pPr>
        <w:spacing w:line="240" w:lineRule="auto"/>
        <w:jc w:val="both"/>
        <w:rPr>
          <w:rFonts w:ascii="Times New Roman" w:hAnsi="Times New Roman"/>
        </w:rPr>
      </w:pPr>
      <w:r w:rsidRPr="00D11465">
        <w:rPr>
          <w:rFonts w:ascii="Times New Roman" w:hAnsi="Times New Roman"/>
        </w:rPr>
        <w:t xml:space="preserve">Davatelji koncesija obvezni su pratiti </w:t>
      </w:r>
      <w:r w:rsidR="00DD1D54" w:rsidRPr="00D11465">
        <w:rPr>
          <w:rFonts w:ascii="Times New Roman" w:hAnsi="Times New Roman"/>
        </w:rPr>
        <w:t>je</w:t>
      </w:r>
      <w:r w:rsidRPr="00D11465">
        <w:rPr>
          <w:rFonts w:ascii="Times New Roman" w:hAnsi="Times New Roman"/>
        </w:rPr>
        <w:t xml:space="preserve"> li naknada za koncesiju plaćena na vrijeme, odnosno </w:t>
      </w:r>
      <w:r w:rsidR="00DD1D54" w:rsidRPr="00D11465">
        <w:rPr>
          <w:rFonts w:ascii="Times New Roman" w:hAnsi="Times New Roman"/>
        </w:rPr>
        <w:t>je</w:t>
      </w:r>
      <w:r w:rsidRPr="00D11465">
        <w:rPr>
          <w:rFonts w:ascii="Times New Roman" w:hAnsi="Times New Roman"/>
        </w:rPr>
        <w:t xml:space="preserve"> li plaćena pravilno, potpuno i pravodobno. Također, posebno je potrebno pratiti rad koncesionara u izvršavanju svih obveza iz ugovora o konc</w:t>
      </w:r>
      <w:r w:rsidR="008432F8">
        <w:rPr>
          <w:rFonts w:ascii="Times New Roman" w:hAnsi="Times New Roman"/>
        </w:rPr>
        <w:t xml:space="preserve">esiji, te su </w:t>
      </w:r>
      <w:r w:rsidRPr="00D11465">
        <w:rPr>
          <w:rFonts w:ascii="Times New Roman" w:hAnsi="Times New Roman"/>
        </w:rPr>
        <w:t xml:space="preserve">obavezni poduzimati mjere </w:t>
      </w:r>
      <w:r w:rsidRPr="00D11465">
        <w:rPr>
          <w:rFonts w:ascii="Times New Roman" w:hAnsi="Times New Roman"/>
        </w:rPr>
        <w:lastRenderedPageBreak/>
        <w:t>nadzora nad koncesionarom ukoliko utvrde da se djelatnost obavlja izvan opsega koji je određen ugovorom o koncesiji</w:t>
      </w:r>
      <w:r w:rsidR="009A24C9">
        <w:rPr>
          <w:rFonts w:ascii="Times New Roman" w:hAnsi="Times New Roman"/>
        </w:rPr>
        <w:t>,</w:t>
      </w:r>
      <w:r w:rsidRPr="00D11465">
        <w:rPr>
          <w:rFonts w:ascii="Times New Roman" w:hAnsi="Times New Roman"/>
        </w:rPr>
        <w:t xml:space="preserve"> a za što su po novom Zakonu o koncesijama propisani određeni prekršaji. </w:t>
      </w:r>
    </w:p>
    <w:p w14:paraId="7D330678" w14:textId="77777777" w:rsidR="00C13CE0" w:rsidRPr="00D11465" w:rsidRDefault="00C13CE0" w:rsidP="00C13CE0">
      <w:pPr>
        <w:spacing w:after="0" w:line="240" w:lineRule="auto"/>
        <w:jc w:val="both"/>
        <w:rPr>
          <w:rFonts w:ascii="Times New Roman" w:hAnsi="Times New Roman"/>
          <w:b/>
          <w:bCs/>
        </w:rPr>
      </w:pPr>
      <w:r w:rsidRPr="00D11465">
        <w:rPr>
          <w:rFonts w:ascii="Times New Roman" w:hAnsi="Times New Roman"/>
          <w:b/>
          <w:bCs/>
        </w:rPr>
        <w:t>7.</w:t>
      </w:r>
      <w:r w:rsidR="00B45873" w:rsidRPr="00D11465">
        <w:rPr>
          <w:rFonts w:ascii="Times New Roman" w:hAnsi="Times New Roman"/>
          <w:b/>
          <w:bCs/>
        </w:rPr>
        <w:t>2</w:t>
      </w:r>
      <w:r w:rsidRPr="00D11465">
        <w:rPr>
          <w:rFonts w:ascii="Times New Roman" w:hAnsi="Times New Roman"/>
          <w:b/>
          <w:bCs/>
        </w:rPr>
        <w:t>. Poduzimanje mjera i otklanjanje nedostataka</w:t>
      </w:r>
    </w:p>
    <w:p w14:paraId="7D330679" w14:textId="77777777" w:rsidR="00C13CE0" w:rsidRPr="00D11465" w:rsidRDefault="00C13CE0" w:rsidP="00C13CE0">
      <w:pPr>
        <w:spacing w:after="0" w:line="240" w:lineRule="auto"/>
        <w:jc w:val="both"/>
        <w:rPr>
          <w:rFonts w:ascii="Times New Roman" w:hAnsi="Times New Roman"/>
          <w:bCs/>
          <w:color w:val="FF0000"/>
        </w:rPr>
      </w:pPr>
    </w:p>
    <w:p w14:paraId="7D33067A" w14:textId="77777777" w:rsidR="00C13CE0" w:rsidRPr="00D11465" w:rsidRDefault="00C13CE0" w:rsidP="00C13CE0">
      <w:pPr>
        <w:spacing w:after="0" w:line="240" w:lineRule="auto"/>
        <w:jc w:val="both"/>
        <w:rPr>
          <w:rFonts w:ascii="Times New Roman" w:hAnsi="Times New Roman"/>
          <w:bCs/>
          <w:color w:val="FF0000"/>
        </w:rPr>
      </w:pPr>
      <w:r w:rsidRPr="00D11465">
        <w:rPr>
          <w:rFonts w:ascii="Times New Roman" w:hAnsi="Times New Roman"/>
          <w:bCs/>
        </w:rPr>
        <w:t>Najveća pažnja bila je usmjerena ka jačanju nadzora koji se dodatno unaprijedio unutar Ministarstva financija kroz nadležnost Carinske uprave koja je zadužena za nadzor koncesionarima koji ne izvršavaju svoje obveze u skladu s ugovorom o koncesiji, ali i također za sve nezakonite radnje koje se mogu dogoditi na dobru koje je predmet koncesije.</w:t>
      </w:r>
    </w:p>
    <w:p w14:paraId="7D33067B" w14:textId="77777777" w:rsidR="00C13CE0" w:rsidRPr="00D11465" w:rsidRDefault="00C13CE0" w:rsidP="00C13CE0">
      <w:pPr>
        <w:spacing w:after="0" w:line="240" w:lineRule="auto"/>
        <w:jc w:val="both"/>
        <w:rPr>
          <w:rFonts w:ascii="Times New Roman" w:hAnsi="Times New Roman"/>
          <w:bCs/>
          <w:lang w:eastAsia="hr-HR"/>
        </w:rPr>
      </w:pPr>
    </w:p>
    <w:p w14:paraId="7D33067C" w14:textId="77777777" w:rsidR="00C13CE0" w:rsidRPr="00235530" w:rsidRDefault="00C13CE0" w:rsidP="00C13CE0">
      <w:pPr>
        <w:spacing w:after="0" w:line="240" w:lineRule="auto"/>
        <w:jc w:val="both"/>
        <w:rPr>
          <w:rFonts w:ascii="Times New Roman" w:hAnsi="Times New Roman"/>
          <w:bCs/>
          <w:lang w:eastAsia="hr-HR"/>
        </w:rPr>
      </w:pPr>
      <w:r w:rsidRPr="00D11465">
        <w:rPr>
          <w:rFonts w:ascii="Times New Roman" w:hAnsi="Times New Roman"/>
          <w:bCs/>
          <w:lang w:eastAsia="hr-HR"/>
        </w:rPr>
        <w:t>Ministarstvo financija je uspostavom stalnog nadzora na koncesionarima tijekom 201</w:t>
      </w:r>
      <w:r w:rsidR="004252E0">
        <w:rPr>
          <w:rFonts w:ascii="Times New Roman" w:hAnsi="Times New Roman"/>
          <w:bCs/>
          <w:lang w:eastAsia="hr-HR"/>
        </w:rPr>
        <w:t>9</w:t>
      </w:r>
      <w:r w:rsidRPr="00D11465">
        <w:rPr>
          <w:rFonts w:ascii="Times New Roman" w:hAnsi="Times New Roman"/>
          <w:bCs/>
          <w:lang w:eastAsia="hr-HR"/>
        </w:rPr>
        <w:t>. godine učinilo značajne pomake ka otklanjanu nedostataka i učenih nepravilnosti u radu koncesionara,a koje do sada nisu bile sankcionirane od strane davatelja koncesija. Za očekivati je da će tijekom budućeg razdoblja, a zbog aktivne uloge Ministarstva financija, doći do smanjenja nepravilnosti kao i neizvršavanja obveza  iz ugovora o koncesijama.</w:t>
      </w:r>
      <w:r w:rsidRPr="00235530">
        <w:rPr>
          <w:rFonts w:ascii="Times New Roman" w:hAnsi="Times New Roman"/>
          <w:bCs/>
          <w:lang w:eastAsia="hr-HR"/>
        </w:rPr>
        <w:t xml:space="preserve">     </w:t>
      </w:r>
    </w:p>
    <w:p w14:paraId="7D33067D" w14:textId="77777777" w:rsidR="00C13CE0" w:rsidRDefault="00C13CE0" w:rsidP="00C13CE0">
      <w:pPr>
        <w:spacing w:after="0" w:line="240" w:lineRule="auto"/>
        <w:jc w:val="both"/>
        <w:rPr>
          <w:rFonts w:ascii="Times New Roman" w:hAnsi="Times New Roman"/>
          <w:bCs/>
          <w:lang w:eastAsia="hr-HR"/>
        </w:rPr>
      </w:pPr>
    </w:p>
    <w:p w14:paraId="7D33067E" w14:textId="77777777" w:rsidR="00726F5D" w:rsidRDefault="00726F5D" w:rsidP="00C13CE0">
      <w:pPr>
        <w:spacing w:after="0" w:line="240" w:lineRule="auto"/>
        <w:jc w:val="both"/>
        <w:rPr>
          <w:rFonts w:ascii="Times New Roman" w:hAnsi="Times New Roman"/>
          <w:bCs/>
          <w:lang w:eastAsia="hr-HR"/>
        </w:rPr>
      </w:pPr>
    </w:p>
    <w:p w14:paraId="7D33067F" w14:textId="77777777" w:rsidR="00726F5D" w:rsidRDefault="00726F5D" w:rsidP="00C13CE0">
      <w:pPr>
        <w:spacing w:after="0" w:line="240" w:lineRule="auto"/>
        <w:jc w:val="both"/>
        <w:rPr>
          <w:rFonts w:ascii="Times New Roman" w:hAnsi="Times New Roman"/>
          <w:bCs/>
          <w:lang w:eastAsia="hr-HR"/>
        </w:rPr>
      </w:pPr>
    </w:p>
    <w:p w14:paraId="7D330680" w14:textId="77777777" w:rsidR="00726F5D" w:rsidRDefault="00726F5D" w:rsidP="00C13CE0">
      <w:pPr>
        <w:spacing w:after="0" w:line="240" w:lineRule="auto"/>
        <w:jc w:val="both"/>
        <w:rPr>
          <w:rFonts w:ascii="Times New Roman" w:hAnsi="Times New Roman"/>
          <w:bCs/>
          <w:lang w:eastAsia="hr-HR"/>
        </w:rPr>
      </w:pPr>
    </w:p>
    <w:p w14:paraId="7D330681" w14:textId="77777777" w:rsidR="00726F5D" w:rsidRDefault="00726F5D" w:rsidP="00C13CE0">
      <w:pPr>
        <w:spacing w:after="0" w:line="240" w:lineRule="auto"/>
        <w:jc w:val="both"/>
        <w:rPr>
          <w:rFonts w:ascii="Times New Roman" w:hAnsi="Times New Roman"/>
          <w:bCs/>
          <w:lang w:eastAsia="hr-HR"/>
        </w:rPr>
      </w:pPr>
    </w:p>
    <w:p w14:paraId="7D330682" w14:textId="77777777" w:rsidR="00726F5D" w:rsidRDefault="00726F5D" w:rsidP="00C13CE0">
      <w:pPr>
        <w:spacing w:after="0" w:line="240" w:lineRule="auto"/>
        <w:jc w:val="both"/>
        <w:rPr>
          <w:rFonts w:ascii="Times New Roman" w:hAnsi="Times New Roman"/>
          <w:bCs/>
          <w:lang w:eastAsia="hr-HR"/>
        </w:rPr>
      </w:pPr>
    </w:p>
    <w:p w14:paraId="7D330683" w14:textId="77777777" w:rsidR="00726F5D" w:rsidRDefault="00726F5D" w:rsidP="00C13CE0">
      <w:pPr>
        <w:spacing w:after="0" w:line="240" w:lineRule="auto"/>
        <w:jc w:val="both"/>
        <w:rPr>
          <w:rFonts w:ascii="Times New Roman" w:hAnsi="Times New Roman"/>
          <w:bCs/>
          <w:lang w:eastAsia="hr-HR"/>
        </w:rPr>
      </w:pPr>
    </w:p>
    <w:p w14:paraId="7D330684" w14:textId="77777777" w:rsidR="00FC658F" w:rsidRDefault="00FC658F" w:rsidP="00C13CE0">
      <w:pPr>
        <w:spacing w:after="0" w:line="240" w:lineRule="auto"/>
        <w:jc w:val="both"/>
        <w:rPr>
          <w:rFonts w:ascii="Times New Roman" w:hAnsi="Times New Roman"/>
          <w:bCs/>
          <w:lang w:eastAsia="hr-HR"/>
        </w:rPr>
      </w:pPr>
    </w:p>
    <w:p w14:paraId="7D330685" w14:textId="77777777" w:rsidR="00FC658F" w:rsidRDefault="00FC658F" w:rsidP="00C13CE0">
      <w:pPr>
        <w:spacing w:after="0" w:line="240" w:lineRule="auto"/>
        <w:jc w:val="both"/>
        <w:rPr>
          <w:rFonts w:ascii="Times New Roman" w:hAnsi="Times New Roman"/>
          <w:bCs/>
          <w:lang w:eastAsia="hr-HR"/>
        </w:rPr>
      </w:pPr>
    </w:p>
    <w:p w14:paraId="7D330686" w14:textId="77777777" w:rsidR="00FC658F" w:rsidRDefault="00FC658F" w:rsidP="00C13CE0">
      <w:pPr>
        <w:spacing w:after="0" w:line="240" w:lineRule="auto"/>
        <w:jc w:val="both"/>
        <w:rPr>
          <w:rFonts w:ascii="Times New Roman" w:hAnsi="Times New Roman"/>
          <w:bCs/>
          <w:lang w:eastAsia="hr-HR"/>
        </w:rPr>
      </w:pPr>
    </w:p>
    <w:p w14:paraId="7D330687" w14:textId="77777777" w:rsidR="00726F5D" w:rsidRDefault="00726F5D" w:rsidP="00C13CE0">
      <w:pPr>
        <w:spacing w:after="0" w:line="240" w:lineRule="auto"/>
        <w:jc w:val="both"/>
        <w:rPr>
          <w:rFonts w:ascii="Times New Roman" w:hAnsi="Times New Roman"/>
          <w:bCs/>
          <w:lang w:eastAsia="hr-HR"/>
        </w:rPr>
      </w:pPr>
    </w:p>
    <w:p w14:paraId="7D330688" w14:textId="77777777" w:rsidR="00726F5D" w:rsidRDefault="00726F5D" w:rsidP="00C13CE0">
      <w:pPr>
        <w:spacing w:after="0" w:line="240" w:lineRule="auto"/>
        <w:jc w:val="both"/>
        <w:rPr>
          <w:rFonts w:ascii="Times New Roman" w:hAnsi="Times New Roman"/>
          <w:bCs/>
          <w:lang w:eastAsia="hr-HR"/>
        </w:rPr>
      </w:pPr>
    </w:p>
    <w:p w14:paraId="7D330689" w14:textId="77777777" w:rsidR="00174C40" w:rsidRDefault="00174C40" w:rsidP="00C13CE0">
      <w:pPr>
        <w:spacing w:after="0" w:line="240" w:lineRule="auto"/>
        <w:jc w:val="both"/>
        <w:rPr>
          <w:rFonts w:ascii="Times New Roman" w:hAnsi="Times New Roman"/>
          <w:bCs/>
          <w:lang w:eastAsia="hr-HR"/>
        </w:rPr>
      </w:pPr>
    </w:p>
    <w:p w14:paraId="7D33068A" w14:textId="77777777" w:rsidR="00174C40" w:rsidRDefault="00174C40" w:rsidP="00C13CE0">
      <w:pPr>
        <w:spacing w:after="0" w:line="240" w:lineRule="auto"/>
        <w:jc w:val="both"/>
        <w:rPr>
          <w:rFonts w:ascii="Times New Roman" w:hAnsi="Times New Roman"/>
          <w:bCs/>
          <w:lang w:eastAsia="hr-HR"/>
        </w:rPr>
      </w:pPr>
    </w:p>
    <w:p w14:paraId="7D33068B" w14:textId="77777777" w:rsidR="00174C40" w:rsidRDefault="00174C40" w:rsidP="00C13CE0">
      <w:pPr>
        <w:spacing w:after="0" w:line="240" w:lineRule="auto"/>
        <w:jc w:val="both"/>
        <w:rPr>
          <w:rFonts w:ascii="Times New Roman" w:hAnsi="Times New Roman"/>
          <w:bCs/>
          <w:lang w:eastAsia="hr-HR"/>
        </w:rPr>
      </w:pPr>
    </w:p>
    <w:p w14:paraId="7D33068C" w14:textId="77777777" w:rsidR="00726F5D" w:rsidRDefault="00726F5D" w:rsidP="00C13CE0">
      <w:pPr>
        <w:spacing w:after="0" w:line="240" w:lineRule="auto"/>
        <w:jc w:val="both"/>
        <w:rPr>
          <w:rFonts w:ascii="Times New Roman" w:hAnsi="Times New Roman"/>
          <w:bCs/>
          <w:lang w:eastAsia="hr-HR"/>
        </w:rPr>
      </w:pPr>
    </w:p>
    <w:p w14:paraId="7D33068D" w14:textId="77777777" w:rsidR="00726F5D" w:rsidRDefault="00726F5D" w:rsidP="00C13CE0">
      <w:pPr>
        <w:spacing w:after="0" w:line="240" w:lineRule="auto"/>
        <w:jc w:val="both"/>
        <w:rPr>
          <w:rFonts w:ascii="Times New Roman" w:hAnsi="Times New Roman"/>
          <w:bCs/>
          <w:lang w:eastAsia="hr-HR"/>
        </w:rPr>
      </w:pPr>
    </w:p>
    <w:p w14:paraId="7D33068E" w14:textId="77777777" w:rsidR="00536104" w:rsidRDefault="00536104" w:rsidP="00C13CE0">
      <w:pPr>
        <w:spacing w:after="0" w:line="240" w:lineRule="auto"/>
        <w:jc w:val="both"/>
        <w:rPr>
          <w:rFonts w:ascii="Times New Roman" w:hAnsi="Times New Roman"/>
          <w:bCs/>
          <w:lang w:eastAsia="hr-HR"/>
        </w:rPr>
      </w:pPr>
    </w:p>
    <w:p w14:paraId="7D33068F" w14:textId="77777777" w:rsidR="00536104" w:rsidRDefault="00536104" w:rsidP="00C13CE0">
      <w:pPr>
        <w:spacing w:after="0" w:line="240" w:lineRule="auto"/>
        <w:jc w:val="both"/>
        <w:rPr>
          <w:rFonts w:ascii="Times New Roman" w:hAnsi="Times New Roman"/>
          <w:bCs/>
          <w:lang w:eastAsia="hr-HR"/>
        </w:rPr>
      </w:pPr>
    </w:p>
    <w:p w14:paraId="7D330690" w14:textId="77777777" w:rsidR="00536104" w:rsidRDefault="00536104" w:rsidP="00C13CE0">
      <w:pPr>
        <w:spacing w:after="0" w:line="240" w:lineRule="auto"/>
        <w:jc w:val="both"/>
        <w:rPr>
          <w:rFonts w:ascii="Times New Roman" w:hAnsi="Times New Roman"/>
          <w:bCs/>
          <w:lang w:eastAsia="hr-HR"/>
        </w:rPr>
      </w:pPr>
    </w:p>
    <w:p w14:paraId="7D330691" w14:textId="77777777" w:rsidR="00536104" w:rsidRDefault="00536104" w:rsidP="00C13CE0">
      <w:pPr>
        <w:spacing w:after="0" w:line="240" w:lineRule="auto"/>
        <w:jc w:val="both"/>
        <w:rPr>
          <w:rFonts w:ascii="Times New Roman" w:hAnsi="Times New Roman"/>
          <w:bCs/>
          <w:lang w:eastAsia="hr-HR"/>
        </w:rPr>
      </w:pPr>
    </w:p>
    <w:p w14:paraId="7D330692" w14:textId="77777777" w:rsidR="00536104" w:rsidRDefault="00536104" w:rsidP="00C13CE0">
      <w:pPr>
        <w:spacing w:after="0" w:line="240" w:lineRule="auto"/>
        <w:jc w:val="both"/>
        <w:rPr>
          <w:rFonts w:ascii="Times New Roman" w:hAnsi="Times New Roman"/>
          <w:bCs/>
          <w:lang w:eastAsia="hr-HR"/>
        </w:rPr>
      </w:pPr>
    </w:p>
    <w:p w14:paraId="7D330693" w14:textId="77777777" w:rsidR="00D11465" w:rsidRDefault="00D11465" w:rsidP="00C13CE0">
      <w:pPr>
        <w:spacing w:after="0" w:line="240" w:lineRule="auto"/>
        <w:jc w:val="both"/>
        <w:rPr>
          <w:rFonts w:ascii="Times New Roman" w:hAnsi="Times New Roman"/>
          <w:bCs/>
          <w:lang w:eastAsia="hr-HR"/>
        </w:rPr>
      </w:pPr>
    </w:p>
    <w:p w14:paraId="7D330694" w14:textId="77777777" w:rsidR="00D11465" w:rsidRDefault="00D11465" w:rsidP="00C13CE0">
      <w:pPr>
        <w:spacing w:after="0" w:line="240" w:lineRule="auto"/>
        <w:jc w:val="both"/>
        <w:rPr>
          <w:rFonts w:ascii="Times New Roman" w:hAnsi="Times New Roman"/>
          <w:bCs/>
          <w:lang w:eastAsia="hr-HR"/>
        </w:rPr>
      </w:pPr>
    </w:p>
    <w:p w14:paraId="7D330695" w14:textId="77777777" w:rsidR="00D11465" w:rsidRDefault="00D11465" w:rsidP="00C13CE0">
      <w:pPr>
        <w:spacing w:after="0" w:line="240" w:lineRule="auto"/>
        <w:jc w:val="both"/>
        <w:rPr>
          <w:rFonts w:ascii="Times New Roman" w:hAnsi="Times New Roman"/>
          <w:bCs/>
          <w:lang w:eastAsia="hr-HR"/>
        </w:rPr>
      </w:pPr>
    </w:p>
    <w:p w14:paraId="7D330696" w14:textId="77777777" w:rsidR="00D11465" w:rsidRDefault="00D11465" w:rsidP="00C13CE0">
      <w:pPr>
        <w:spacing w:after="0" w:line="240" w:lineRule="auto"/>
        <w:jc w:val="both"/>
        <w:rPr>
          <w:rFonts w:ascii="Times New Roman" w:hAnsi="Times New Roman"/>
          <w:bCs/>
          <w:lang w:eastAsia="hr-HR"/>
        </w:rPr>
      </w:pPr>
    </w:p>
    <w:p w14:paraId="7D330697" w14:textId="77777777" w:rsidR="00D11465" w:rsidRDefault="00D11465" w:rsidP="00C13CE0">
      <w:pPr>
        <w:spacing w:after="0" w:line="240" w:lineRule="auto"/>
        <w:jc w:val="both"/>
        <w:rPr>
          <w:rFonts w:ascii="Times New Roman" w:hAnsi="Times New Roman"/>
          <w:bCs/>
          <w:lang w:eastAsia="hr-HR"/>
        </w:rPr>
      </w:pPr>
    </w:p>
    <w:p w14:paraId="7D330698" w14:textId="77777777" w:rsidR="00D11465" w:rsidRDefault="00D11465" w:rsidP="00C13CE0">
      <w:pPr>
        <w:spacing w:after="0" w:line="240" w:lineRule="auto"/>
        <w:jc w:val="both"/>
        <w:rPr>
          <w:rFonts w:ascii="Times New Roman" w:hAnsi="Times New Roman"/>
          <w:bCs/>
          <w:lang w:eastAsia="hr-HR"/>
        </w:rPr>
      </w:pPr>
    </w:p>
    <w:p w14:paraId="7D330699" w14:textId="77777777" w:rsidR="00D11465" w:rsidRDefault="00D11465" w:rsidP="00C13CE0">
      <w:pPr>
        <w:spacing w:after="0" w:line="240" w:lineRule="auto"/>
        <w:jc w:val="both"/>
        <w:rPr>
          <w:rFonts w:ascii="Times New Roman" w:hAnsi="Times New Roman"/>
          <w:bCs/>
          <w:lang w:eastAsia="hr-HR"/>
        </w:rPr>
      </w:pPr>
    </w:p>
    <w:p w14:paraId="7D33069A" w14:textId="77777777" w:rsidR="00D11465" w:rsidRDefault="00D11465" w:rsidP="00C13CE0">
      <w:pPr>
        <w:spacing w:after="0" w:line="240" w:lineRule="auto"/>
        <w:jc w:val="both"/>
        <w:rPr>
          <w:rFonts w:ascii="Times New Roman" w:hAnsi="Times New Roman"/>
          <w:bCs/>
          <w:lang w:eastAsia="hr-HR"/>
        </w:rPr>
      </w:pPr>
    </w:p>
    <w:p w14:paraId="7D33069B" w14:textId="77777777" w:rsidR="00D11465" w:rsidRDefault="00D11465" w:rsidP="00C13CE0">
      <w:pPr>
        <w:spacing w:after="0" w:line="240" w:lineRule="auto"/>
        <w:jc w:val="both"/>
        <w:rPr>
          <w:rFonts w:ascii="Times New Roman" w:hAnsi="Times New Roman"/>
          <w:bCs/>
          <w:lang w:eastAsia="hr-HR"/>
        </w:rPr>
      </w:pPr>
    </w:p>
    <w:p w14:paraId="7D33069C" w14:textId="77777777" w:rsidR="00D11465" w:rsidRDefault="00D11465" w:rsidP="00C13CE0">
      <w:pPr>
        <w:spacing w:after="0" w:line="240" w:lineRule="auto"/>
        <w:jc w:val="both"/>
        <w:rPr>
          <w:rFonts w:ascii="Times New Roman" w:hAnsi="Times New Roman"/>
          <w:bCs/>
          <w:lang w:eastAsia="hr-HR"/>
        </w:rPr>
      </w:pPr>
    </w:p>
    <w:p w14:paraId="7D33069D" w14:textId="77777777" w:rsidR="00D11465" w:rsidRDefault="00D11465" w:rsidP="00C13CE0">
      <w:pPr>
        <w:spacing w:after="0" w:line="240" w:lineRule="auto"/>
        <w:jc w:val="both"/>
        <w:rPr>
          <w:rFonts w:ascii="Times New Roman" w:hAnsi="Times New Roman"/>
          <w:bCs/>
          <w:lang w:eastAsia="hr-HR"/>
        </w:rPr>
      </w:pPr>
    </w:p>
    <w:p w14:paraId="7D33069E" w14:textId="77777777" w:rsidR="00D11465" w:rsidRDefault="00D11465" w:rsidP="00C13CE0">
      <w:pPr>
        <w:spacing w:after="0" w:line="240" w:lineRule="auto"/>
        <w:jc w:val="both"/>
        <w:rPr>
          <w:rFonts w:ascii="Times New Roman" w:hAnsi="Times New Roman"/>
          <w:bCs/>
          <w:lang w:eastAsia="hr-HR"/>
        </w:rPr>
      </w:pPr>
    </w:p>
    <w:p w14:paraId="7D33069F" w14:textId="77777777" w:rsidR="00D11465" w:rsidRDefault="00D11465" w:rsidP="00C13CE0">
      <w:pPr>
        <w:spacing w:after="0" w:line="240" w:lineRule="auto"/>
        <w:jc w:val="both"/>
        <w:rPr>
          <w:rFonts w:ascii="Times New Roman" w:hAnsi="Times New Roman"/>
          <w:bCs/>
          <w:lang w:eastAsia="hr-HR"/>
        </w:rPr>
      </w:pPr>
    </w:p>
    <w:p w14:paraId="7D3306A0" w14:textId="77777777" w:rsidR="00EC3106" w:rsidRDefault="00EC3106" w:rsidP="00C13CE0">
      <w:pPr>
        <w:spacing w:after="0" w:line="240" w:lineRule="auto"/>
        <w:jc w:val="both"/>
        <w:rPr>
          <w:rFonts w:ascii="Times New Roman" w:hAnsi="Times New Roman"/>
          <w:bCs/>
          <w:lang w:eastAsia="hr-HR"/>
        </w:rPr>
      </w:pPr>
    </w:p>
    <w:p w14:paraId="7D3306A1" w14:textId="77777777" w:rsidR="00EC3106" w:rsidRDefault="00EC3106" w:rsidP="00C13CE0">
      <w:pPr>
        <w:spacing w:after="0" w:line="240" w:lineRule="auto"/>
        <w:jc w:val="both"/>
        <w:rPr>
          <w:rFonts w:ascii="Times New Roman" w:hAnsi="Times New Roman"/>
          <w:bCs/>
          <w:lang w:eastAsia="hr-HR"/>
        </w:rPr>
      </w:pPr>
    </w:p>
    <w:p w14:paraId="7D3306A2" w14:textId="77777777" w:rsidR="00D11465" w:rsidRDefault="00D11465" w:rsidP="00C13CE0">
      <w:pPr>
        <w:spacing w:after="0" w:line="240" w:lineRule="auto"/>
        <w:jc w:val="both"/>
        <w:rPr>
          <w:rFonts w:ascii="Times New Roman" w:hAnsi="Times New Roman"/>
          <w:bCs/>
          <w:lang w:eastAsia="hr-HR"/>
        </w:rPr>
      </w:pPr>
    </w:p>
    <w:p w14:paraId="7D3306A3" w14:textId="77777777" w:rsidR="00D11465" w:rsidRDefault="00D11465" w:rsidP="00C13CE0">
      <w:pPr>
        <w:spacing w:after="0" w:line="240" w:lineRule="auto"/>
        <w:jc w:val="both"/>
        <w:rPr>
          <w:rFonts w:ascii="Times New Roman" w:hAnsi="Times New Roman"/>
          <w:bCs/>
          <w:lang w:eastAsia="hr-HR"/>
        </w:rPr>
      </w:pPr>
    </w:p>
    <w:p w14:paraId="7D3306A4" w14:textId="77777777" w:rsidR="00D11465" w:rsidRPr="00235530" w:rsidRDefault="00D11465" w:rsidP="00C13CE0">
      <w:pPr>
        <w:spacing w:after="0" w:line="240" w:lineRule="auto"/>
        <w:jc w:val="both"/>
        <w:rPr>
          <w:rFonts w:ascii="Times New Roman" w:hAnsi="Times New Roman"/>
          <w:bCs/>
          <w:lang w:eastAsia="hr-HR"/>
        </w:rPr>
      </w:pPr>
    </w:p>
    <w:p w14:paraId="7D3306A5" w14:textId="77777777" w:rsidR="00C13CE0" w:rsidRPr="007874DE" w:rsidRDefault="00C13CE0" w:rsidP="00C13CE0">
      <w:pPr>
        <w:spacing w:after="0" w:line="240" w:lineRule="auto"/>
        <w:jc w:val="both"/>
        <w:rPr>
          <w:rFonts w:ascii="Times New Roman" w:hAnsi="Times New Roman"/>
          <w:b/>
          <w:bCs/>
          <w:sz w:val="24"/>
          <w:szCs w:val="24"/>
          <w:lang w:eastAsia="hr-HR"/>
        </w:rPr>
      </w:pPr>
      <w:r w:rsidRPr="007874DE">
        <w:rPr>
          <w:rFonts w:ascii="Times New Roman" w:hAnsi="Times New Roman"/>
          <w:b/>
          <w:bCs/>
          <w:sz w:val="24"/>
          <w:szCs w:val="24"/>
          <w:lang w:eastAsia="hr-HR"/>
        </w:rPr>
        <w:t>ZAKLJUČNO</w:t>
      </w:r>
    </w:p>
    <w:p w14:paraId="7D3306A6" w14:textId="77777777" w:rsidR="00C13CE0" w:rsidRPr="00235530" w:rsidRDefault="00C13CE0" w:rsidP="00C13CE0">
      <w:pPr>
        <w:spacing w:after="0" w:line="240" w:lineRule="auto"/>
        <w:jc w:val="both"/>
        <w:rPr>
          <w:rFonts w:ascii="Times New Roman" w:hAnsi="Times New Roman"/>
          <w:bCs/>
          <w:lang w:eastAsia="hr-HR"/>
        </w:rPr>
      </w:pPr>
    </w:p>
    <w:p w14:paraId="7D3306A7" w14:textId="77777777" w:rsidR="00C13CE0" w:rsidRPr="00235530" w:rsidRDefault="00C13CE0" w:rsidP="00C13CE0">
      <w:pPr>
        <w:spacing w:after="0" w:line="240" w:lineRule="auto"/>
        <w:jc w:val="both"/>
        <w:rPr>
          <w:rFonts w:ascii="Times New Roman" w:eastAsia="MS Mincho" w:hAnsi="Times New Roman"/>
          <w:lang w:eastAsia="ja-JP"/>
        </w:rPr>
      </w:pPr>
      <w:r w:rsidRPr="00235530">
        <w:rPr>
          <w:rFonts w:ascii="Times New Roman" w:eastAsia="MS Mincho" w:hAnsi="Times New Roman"/>
          <w:lang w:eastAsia="ja-JP"/>
        </w:rPr>
        <w:t>Uzimajući u obzir značaj provođenja aktivne politike koncesija tijekom 201</w:t>
      </w:r>
      <w:r w:rsidR="004252E0">
        <w:rPr>
          <w:rFonts w:ascii="Times New Roman" w:eastAsia="MS Mincho" w:hAnsi="Times New Roman"/>
          <w:lang w:eastAsia="ja-JP"/>
        </w:rPr>
        <w:t>9</w:t>
      </w:r>
      <w:r w:rsidRPr="00235530">
        <w:rPr>
          <w:rFonts w:ascii="Times New Roman" w:eastAsia="MS Mincho" w:hAnsi="Times New Roman"/>
          <w:lang w:eastAsia="ja-JP"/>
        </w:rPr>
        <w:t>. godine može se zaključiti kako je Ministarstvo financija postupalo u skladu sa svojim nadležnostima i djelokrugom, te je sukladno Zakonu o koncesijama provodilo sve mjere i aktivnosti s ciljem jačanja sustava nadzora i praćenja rada koncesionara i izvrša</w:t>
      </w:r>
      <w:r w:rsidR="009A24C9">
        <w:rPr>
          <w:rFonts w:ascii="Times New Roman" w:eastAsia="MS Mincho" w:hAnsi="Times New Roman"/>
          <w:lang w:eastAsia="ja-JP"/>
        </w:rPr>
        <w:t xml:space="preserve">vanja obveza iz </w:t>
      </w:r>
      <w:r w:rsidRPr="00235530">
        <w:rPr>
          <w:rFonts w:ascii="Times New Roman" w:eastAsia="MS Mincho" w:hAnsi="Times New Roman"/>
          <w:lang w:eastAsia="ja-JP"/>
        </w:rPr>
        <w:t xml:space="preserve">ugovora o koncesijama, ali i procedure koja se odnosi na učinkovitiju dodjelu koncesija u različitim sektorima gospodarstva. </w:t>
      </w:r>
    </w:p>
    <w:p w14:paraId="7D3306A8" w14:textId="77777777" w:rsidR="00C13CE0" w:rsidRPr="00235530" w:rsidRDefault="00C13CE0" w:rsidP="00C13CE0">
      <w:pPr>
        <w:spacing w:after="0" w:line="240" w:lineRule="auto"/>
        <w:jc w:val="both"/>
        <w:rPr>
          <w:rFonts w:ascii="Times New Roman" w:eastAsia="MS Mincho" w:hAnsi="Times New Roman"/>
          <w:lang w:eastAsia="ja-JP"/>
        </w:rPr>
      </w:pPr>
    </w:p>
    <w:p w14:paraId="7D3306A9" w14:textId="77777777" w:rsidR="00C13CE0" w:rsidRPr="00235530" w:rsidRDefault="00C13CE0" w:rsidP="00C13CE0">
      <w:pPr>
        <w:autoSpaceDE w:val="0"/>
        <w:autoSpaceDN w:val="0"/>
        <w:adjustRightInd w:val="0"/>
        <w:spacing w:after="0" w:line="240" w:lineRule="auto"/>
        <w:jc w:val="both"/>
        <w:rPr>
          <w:rFonts w:ascii="Times New Roman" w:hAnsi="Times New Roman"/>
        </w:rPr>
      </w:pPr>
      <w:r w:rsidRPr="00235530">
        <w:rPr>
          <w:rFonts w:ascii="Times New Roman" w:hAnsi="Times New Roman"/>
        </w:rPr>
        <w:t xml:space="preserve">Sukladno zacrtanim ciljevima ekonomske politike Vlade RH, kretanja prihoda državnog proračuna određena su očekivanim rastom gospodarske aktivnosti.  </w:t>
      </w:r>
      <w:r w:rsidRPr="00235530">
        <w:rPr>
          <w:rFonts w:ascii="Times New Roman" w:eastAsia="MS Mincho" w:hAnsi="Times New Roman"/>
          <w:lang w:eastAsia="ja-JP"/>
        </w:rPr>
        <w:t xml:space="preserve">Aktivna uloga Ministarstva financija ogledala se u poticanju djelovanja davatelja koncesija prema svakom pojedinom koncesionaru potičući financijsku disciplinu i poštivanje izvršenja obveza iz ugovora o koncesijama. </w:t>
      </w:r>
    </w:p>
    <w:p w14:paraId="7D3306AA" w14:textId="77777777" w:rsidR="00C13CE0" w:rsidRPr="00235530" w:rsidRDefault="00C13CE0" w:rsidP="00C13CE0">
      <w:pPr>
        <w:spacing w:after="0" w:line="240" w:lineRule="auto"/>
        <w:jc w:val="both"/>
        <w:rPr>
          <w:rFonts w:ascii="Times New Roman" w:eastAsia="MS Mincho" w:hAnsi="Times New Roman"/>
          <w:lang w:eastAsia="ja-JP"/>
        </w:rPr>
      </w:pPr>
    </w:p>
    <w:p w14:paraId="7D3306AB" w14:textId="77777777" w:rsidR="00C13CE0" w:rsidRPr="00235530" w:rsidRDefault="00C13CE0" w:rsidP="00C13CE0">
      <w:pPr>
        <w:spacing w:after="0" w:line="240" w:lineRule="auto"/>
        <w:jc w:val="both"/>
        <w:rPr>
          <w:rFonts w:ascii="Times New Roman" w:eastAsia="MS Mincho" w:hAnsi="Times New Roman"/>
          <w:lang w:eastAsia="ja-JP"/>
        </w:rPr>
      </w:pPr>
      <w:r w:rsidRPr="00235530">
        <w:rPr>
          <w:rFonts w:ascii="Times New Roman" w:eastAsia="MS Mincho" w:hAnsi="Times New Roman"/>
          <w:lang w:eastAsia="ja-JP"/>
        </w:rPr>
        <w:t>Tijekom 201</w:t>
      </w:r>
      <w:r w:rsidR="004252E0">
        <w:rPr>
          <w:rFonts w:ascii="Times New Roman" w:eastAsia="MS Mincho" w:hAnsi="Times New Roman"/>
          <w:lang w:eastAsia="ja-JP"/>
        </w:rPr>
        <w:t>9</w:t>
      </w:r>
      <w:r w:rsidRPr="00235530">
        <w:rPr>
          <w:rFonts w:ascii="Times New Roman" w:eastAsia="MS Mincho" w:hAnsi="Times New Roman"/>
          <w:lang w:eastAsia="ja-JP"/>
        </w:rPr>
        <w:t>. godine u nadležnosti Ministarstva financija kontinuirano se upućivalo davatelje koncesija na stalno praćenje i pokretanje aktiviranja postojećih instrumenta osiguranja kao i aktiviranje prisilne naplate za evidentirana dugovanja koncesionara, te potom i provedbu raskida ugovora o koncesijama ukoliko su se stvorili svi preduvjeti za pokretanjem istoga. U tom smislu, može se konstatirati kako su u ovom segmentu učinjeni određeni pomaci gdje su u većoj mjeri angažirani davatelji koncesija, a prvenstveno kod reguliranja i naplate postojećih dugovanja.</w:t>
      </w:r>
    </w:p>
    <w:p w14:paraId="7D3306AC" w14:textId="77777777" w:rsidR="00C13CE0" w:rsidRPr="00235530" w:rsidRDefault="00C13CE0" w:rsidP="00C13CE0">
      <w:pPr>
        <w:spacing w:after="0" w:line="240" w:lineRule="auto"/>
        <w:jc w:val="both"/>
        <w:rPr>
          <w:rFonts w:ascii="Times New Roman" w:eastAsia="MS Mincho" w:hAnsi="Times New Roman"/>
          <w:lang w:eastAsia="ja-JP"/>
        </w:rPr>
      </w:pPr>
    </w:p>
    <w:p w14:paraId="7D3306AD" w14:textId="77777777" w:rsidR="00C13CE0" w:rsidRPr="00235530" w:rsidRDefault="00C13CE0" w:rsidP="00C13CE0">
      <w:pPr>
        <w:spacing w:after="0" w:line="240" w:lineRule="auto"/>
        <w:jc w:val="both"/>
        <w:rPr>
          <w:rFonts w:ascii="Times New Roman" w:hAnsi="Times New Roman"/>
          <w:lang w:eastAsia="hr-HR"/>
        </w:rPr>
      </w:pPr>
      <w:r w:rsidRPr="00235530">
        <w:rPr>
          <w:rFonts w:ascii="Times New Roman" w:hAnsi="Times New Roman"/>
        </w:rPr>
        <w:t xml:space="preserve">Novim zakonskim okvirom koji je usvojen u srpnju 2017. godine stvoreni su preduvjeti za jačanje efikasnosti sustava i politike koncesija jačanjem uloge Carinske službe ministarstva nadležnog za financije, koja će osigurati provedbu učinkovitog i efikasnog obavljanja nadzora u sustavu koncesija.  </w:t>
      </w:r>
      <w:r w:rsidRPr="00235530">
        <w:rPr>
          <w:rFonts w:ascii="Times New Roman" w:hAnsi="Times New Roman"/>
          <w:lang w:eastAsia="hr-HR"/>
        </w:rPr>
        <w:t>Tako su Zakonom o koncesijama jasno propisani post</w:t>
      </w:r>
      <w:r w:rsidR="009A24C9">
        <w:rPr>
          <w:rFonts w:ascii="Times New Roman" w:hAnsi="Times New Roman"/>
          <w:lang w:eastAsia="hr-HR"/>
        </w:rPr>
        <w:t xml:space="preserve">upci poduzimanja mjera naplate </w:t>
      </w:r>
      <w:r w:rsidRPr="00235530">
        <w:rPr>
          <w:rFonts w:ascii="Times New Roman" w:hAnsi="Times New Roman"/>
          <w:lang w:eastAsia="hr-HR"/>
        </w:rPr>
        <w:t xml:space="preserve">pokretanjem postupka prisilne naplate aktiviranjem instrumenata osiguranja i drugim inspekcijskim aktivnostima u slučaju uočavanja nelegalnog korištenja koncesijskog dobra ili korištenjem dobra izvan područja koncesije. Cjelokupni proces nadzora i kontrole postupka naplate naknade za koncesiju koji se obavlja u nadležnosti Carinske uprave rezultirat će povećanjem prihoda od naknada za koncesije  kao i boljeg izvršavanja svih ugovorenih obveza. </w:t>
      </w:r>
    </w:p>
    <w:p w14:paraId="7D3306AE" w14:textId="77777777" w:rsidR="00C13CE0" w:rsidRPr="00235530" w:rsidRDefault="00C13CE0" w:rsidP="00C13CE0">
      <w:pPr>
        <w:spacing w:after="0" w:line="240" w:lineRule="auto"/>
        <w:jc w:val="both"/>
        <w:rPr>
          <w:rFonts w:ascii="Times New Roman" w:hAnsi="Times New Roman"/>
          <w:lang w:eastAsia="hr-HR"/>
        </w:rPr>
      </w:pPr>
    </w:p>
    <w:p w14:paraId="7D3306AF" w14:textId="77777777" w:rsidR="00C13CE0" w:rsidRPr="00235530" w:rsidRDefault="00EF1967" w:rsidP="00C13CE0">
      <w:pPr>
        <w:spacing w:after="0" w:line="240" w:lineRule="auto"/>
        <w:jc w:val="both"/>
        <w:rPr>
          <w:rFonts w:ascii="Times New Roman" w:hAnsi="Times New Roman"/>
          <w:lang w:eastAsia="hr-HR"/>
        </w:rPr>
      </w:pPr>
      <w:r>
        <w:rPr>
          <w:rFonts w:ascii="Times New Roman" w:hAnsi="Times New Roman"/>
          <w:lang w:eastAsia="hr-HR"/>
        </w:rPr>
        <w:t>Adekvatnom</w:t>
      </w:r>
      <w:r w:rsidR="00C13CE0" w:rsidRPr="00235530">
        <w:rPr>
          <w:rFonts w:ascii="Times New Roman" w:hAnsi="Times New Roman"/>
          <w:lang w:eastAsia="hr-HR"/>
        </w:rPr>
        <w:t xml:space="preserve"> politikom koncesija provođenom od strane Ministarstva financija rezultiralo je povećanjem učinkovitosti praćenja i izvršavanja obveza iz ugovora o koncesijama, stalnim nadzorom nad poslovanjem koncesionara, što je također utjecalo na smanjenje eventualnih nepravilnosti i neurednosti izvršavanja ugovorenih obveza koncesionara</w:t>
      </w:r>
      <w:r w:rsidR="003740A8">
        <w:rPr>
          <w:rFonts w:ascii="Times New Roman" w:hAnsi="Times New Roman"/>
          <w:lang w:eastAsia="hr-HR"/>
        </w:rPr>
        <w:t>, a što je vidljivo kroz smanjenje evidentiranog dugovan</w:t>
      </w:r>
      <w:r w:rsidR="00C27FAF">
        <w:rPr>
          <w:rFonts w:ascii="Times New Roman" w:hAnsi="Times New Roman"/>
          <w:lang w:eastAsia="hr-HR"/>
        </w:rPr>
        <w:t>ja i</w:t>
      </w:r>
      <w:r w:rsidR="003740A8">
        <w:rPr>
          <w:rFonts w:ascii="Times New Roman" w:hAnsi="Times New Roman"/>
          <w:lang w:eastAsia="hr-HR"/>
        </w:rPr>
        <w:t xml:space="preserve"> smanjenjem broja žalbi na </w:t>
      </w:r>
      <w:r w:rsidR="00C27FAF">
        <w:rPr>
          <w:rFonts w:ascii="Times New Roman" w:hAnsi="Times New Roman"/>
          <w:lang w:eastAsia="hr-HR"/>
        </w:rPr>
        <w:t>postupke davanja koncesije</w:t>
      </w:r>
      <w:r w:rsidR="00C13CE0" w:rsidRPr="00235530">
        <w:rPr>
          <w:rFonts w:ascii="Times New Roman" w:hAnsi="Times New Roman"/>
          <w:lang w:eastAsia="hr-HR"/>
        </w:rPr>
        <w:t xml:space="preserve">. </w:t>
      </w:r>
    </w:p>
    <w:p w14:paraId="7D3306B0" w14:textId="77777777" w:rsidR="00C13CE0" w:rsidRDefault="00C13CE0" w:rsidP="00C13CE0">
      <w:pPr>
        <w:spacing w:after="0" w:line="240" w:lineRule="auto"/>
        <w:jc w:val="both"/>
        <w:rPr>
          <w:rFonts w:ascii="Times New Roman" w:hAnsi="Times New Roman"/>
          <w:lang w:eastAsia="hr-HR"/>
        </w:rPr>
      </w:pPr>
    </w:p>
    <w:p w14:paraId="7D3306B1" w14:textId="77777777" w:rsidR="00E068E7" w:rsidRDefault="008432F8" w:rsidP="0056564E">
      <w:pPr>
        <w:spacing w:after="0" w:line="240" w:lineRule="auto"/>
        <w:jc w:val="both"/>
        <w:rPr>
          <w:rFonts w:ascii="Times New Roman" w:hAnsi="Times New Roman"/>
          <w:lang w:eastAsia="hr-HR"/>
        </w:rPr>
      </w:pPr>
      <w:r>
        <w:rPr>
          <w:rFonts w:ascii="Times New Roman" w:hAnsi="Times New Roman"/>
          <w:lang w:eastAsia="hr-HR"/>
        </w:rPr>
        <w:t xml:space="preserve">U okviru postizanja pozitivnih financijskih učinaka koje </w:t>
      </w:r>
      <w:r w:rsidR="00E068E7">
        <w:rPr>
          <w:rFonts w:ascii="Times New Roman" w:hAnsi="Times New Roman"/>
          <w:lang w:eastAsia="hr-HR"/>
        </w:rPr>
        <w:t>generiraju koncesijski modeli potrebno je od strane davatelja koncesija odrediti visinu</w:t>
      </w:r>
      <w:r w:rsidR="00E068E7" w:rsidRPr="006409A4">
        <w:rPr>
          <w:rFonts w:ascii="Times New Roman" w:hAnsi="Times New Roman"/>
          <w:lang w:eastAsia="hr-HR"/>
        </w:rPr>
        <w:t xml:space="preserve"> koncesijske naknade (fiksnog i/ili varijabilnog dijela) </w:t>
      </w:r>
      <w:r w:rsidR="00E068E7">
        <w:rPr>
          <w:rFonts w:ascii="Times New Roman" w:hAnsi="Times New Roman"/>
          <w:lang w:eastAsia="hr-HR"/>
        </w:rPr>
        <w:t>vodeći</w:t>
      </w:r>
      <w:r w:rsidR="00E068E7" w:rsidRPr="006409A4">
        <w:rPr>
          <w:rFonts w:ascii="Times New Roman" w:hAnsi="Times New Roman"/>
          <w:lang w:eastAsia="hr-HR"/>
        </w:rPr>
        <w:t xml:space="preserve"> računa o postizanju uravnoteženog ugovornog odnosa između davatelja koncesije</w:t>
      </w:r>
      <w:r w:rsidR="00E068E7">
        <w:rPr>
          <w:rFonts w:ascii="Times New Roman" w:hAnsi="Times New Roman"/>
          <w:lang w:eastAsia="hr-HR"/>
        </w:rPr>
        <w:t xml:space="preserve"> i koncesionara</w:t>
      </w:r>
      <w:r w:rsidR="000F2CB8">
        <w:rPr>
          <w:rFonts w:ascii="Times New Roman" w:hAnsi="Times New Roman"/>
          <w:lang w:eastAsia="hr-HR"/>
        </w:rPr>
        <w:t xml:space="preserve">, </w:t>
      </w:r>
      <w:r w:rsidR="000F2CB8" w:rsidRPr="000F2CB8">
        <w:rPr>
          <w:rFonts w:ascii="Times New Roman" w:hAnsi="Times New Roman"/>
          <w:lang w:eastAsia="hr-HR"/>
        </w:rPr>
        <w:t>Sama visina koncesijske naknade  ne bi trebala biti određena u iznosu koji bi narušavao ekonomsku ravnotežu na štetu koncesionara ili davatelja koncesije, odnosno ista bi trebala biti određena nakon detaljne i pomno izrađene studije gospodarske opravdanosti ne bi li se u</w:t>
      </w:r>
      <w:r w:rsidR="000F2CB8">
        <w:rPr>
          <w:rFonts w:ascii="Times New Roman" w:hAnsi="Times New Roman"/>
          <w:lang w:eastAsia="hr-HR"/>
        </w:rPr>
        <w:t xml:space="preserve">tvrdila prihvatljivost ulaganja, a što </w:t>
      </w:r>
      <w:r w:rsidR="00E068E7" w:rsidRPr="006409A4">
        <w:rPr>
          <w:rFonts w:ascii="Times New Roman" w:hAnsi="Times New Roman"/>
          <w:lang w:eastAsia="hr-HR"/>
        </w:rPr>
        <w:t>se posebno odnosi na slučajeve produljenja</w:t>
      </w:r>
      <w:r w:rsidR="00E068E7">
        <w:rPr>
          <w:rFonts w:ascii="Times New Roman" w:hAnsi="Times New Roman"/>
          <w:lang w:eastAsia="hr-HR"/>
        </w:rPr>
        <w:t xml:space="preserve"> postojećih ugovora o koncesiji.</w:t>
      </w:r>
      <w:r w:rsidR="00E068E7" w:rsidRPr="006409A4">
        <w:rPr>
          <w:rFonts w:ascii="Times New Roman" w:hAnsi="Times New Roman"/>
          <w:lang w:eastAsia="hr-HR"/>
        </w:rPr>
        <w:t xml:space="preserve"> </w:t>
      </w:r>
      <w:r w:rsidR="00E068E7">
        <w:rPr>
          <w:rFonts w:ascii="Times New Roman" w:hAnsi="Times New Roman"/>
          <w:lang w:eastAsia="hr-HR"/>
        </w:rPr>
        <w:t>U takvim slučajevima</w:t>
      </w:r>
      <w:r w:rsidR="00E068E7" w:rsidRPr="006409A4">
        <w:rPr>
          <w:rFonts w:ascii="Times New Roman" w:hAnsi="Times New Roman"/>
          <w:lang w:eastAsia="hr-HR"/>
        </w:rPr>
        <w:t xml:space="preserve"> davatelji koncesije </w:t>
      </w:r>
      <w:r w:rsidR="00E068E7" w:rsidRPr="006409A4">
        <w:rPr>
          <w:rFonts w:ascii="Times New Roman" w:hAnsi="Times New Roman"/>
          <w:lang w:eastAsia="hr-HR"/>
        </w:rPr>
        <w:lastRenderedPageBreak/>
        <w:t xml:space="preserve">dužni </w:t>
      </w:r>
      <w:r w:rsidR="00E068E7">
        <w:rPr>
          <w:rFonts w:ascii="Times New Roman" w:hAnsi="Times New Roman"/>
          <w:lang w:eastAsia="hr-HR"/>
        </w:rPr>
        <w:t xml:space="preserve">su </w:t>
      </w:r>
      <w:r w:rsidR="00E068E7" w:rsidRPr="006409A4">
        <w:rPr>
          <w:rFonts w:ascii="Times New Roman" w:hAnsi="Times New Roman"/>
          <w:lang w:eastAsia="hr-HR"/>
        </w:rPr>
        <w:t xml:space="preserve">iznimno pažljivo </w:t>
      </w:r>
      <w:r w:rsidR="00E068E7">
        <w:rPr>
          <w:rFonts w:ascii="Times New Roman" w:hAnsi="Times New Roman"/>
          <w:lang w:eastAsia="hr-HR"/>
        </w:rPr>
        <w:t>postupiti</w:t>
      </w:r>
      <w:r w:rsidR="00E068E7" w:rsidRPr="006409A4">
        <w:rPr>
          <w:rFonts w:ascii="Times New Roman" w:hAnsi="Times New Roman"/>
          <w:lang w:eastAsia="hr-HR"/>
        </w:rPr>
        <w:t xml:space="preserve"> vodeći računa o poštivanju odredbi Zakona o koncesijama</w:t>
      </w:r>
      <w:r w:rsidR="00801B54">
        <w:rPr>
          <w:rFonts w:ascii="Times New Roman" w:hAnsi="Times New Roman"/>
          <w:lang w:eastAsia="hr-HR"/>
        </w:rPr>
        <w:t>,</w:t>
      </w:r>
      <w:r w:rsidR="00E068E7">
        <w:rPr>
          <w:rFonts w:ascii="Times New Roman" w:hAnsi="Times New Roman"/>
          <w:lang w:eastAsia="hr-HR"/>
        </w:rPr>
        <w:t xml:space="preserve"> uzimajući u obzir očekivane povrate,</w:t>
      </w:r>
      <w:r w:rsidR="00801B54" w:rsidRPr="00801B54">
        <w:t xml:space="preserve"> </w:t>
      </w:r>
      <w:r w:rsidR="00801B54" w:rsidRPr="00801B54">
        <w:rPr>
          <w:rFonts w:ascii="Times New Roman" w:hAnsi="Times New Roman"/>
          <w:lang w:eastAsia="hr-HR"/>
        </w:rPr>
        <w:t>realizaciju investicijskih planova</w:t>
      </w:r>
      <w:r w:rsidR="00801B54">
        <w:rPr>
          <w:rFonts w:ascii="Times New Roman" w:hAnsi="Times New Roman"/>
          <w:lang w:eastAsia="hr-HR"/>
        </w:rPr>
        <w:t>,</w:t>
      </w:r>
      <w:r w:rsidR="00E068E7">
        <w:rPr>
          <w:rFonts w:ascii="Times New Roman" w:hAnsi="Times New Roman"/>
          <w:lang w:eastAsia="hr-HR"/>
        </w:rPr>
        <w:t xml:space="preserve"> </w:t>
      </w:r>
      <w:r w:rsidR="00801B54">
        <w:rPr>
          <w:rFonts w:ascii="Times New Roman" w:hAnsi="Times New Roman"/>
          <w:lang w:eastAsia="hr-HR"/>
        </w:rPr>
        <w:t xml:space="preserve">uz </w:t>
      </w:r>
      <w:r w:rsidR="006501A0">
        <w:rPr>
          <w:rFonts w:ascii="Times New Roman" w:hAnsi="Times New Roman"/>
          <w:lang w:eastAsia="hr-HR"/>
        </w:rPr>
        <w:t xml:space="preserve">ostvarenje </w:t>
      </w:r>
      <w:r w:rsidR="00E068E7">
        <w:rPr>
          <w:rFonts w:ascii="Times New Roman" w:hAnsi="Times New Roman"/>
          <w:lang w:eastAsia="hr-HR"/>
        </w:rPr>
        <w:t>pun</w:t>
      </w:r>
      <w:r w:rsidR="006501A0">
        <w:rPr>
          <w:rFonts w:ascii="Times New Roman" w:hAnsi="Times New Roman"/>
          <w:lang w:eastAsia="hr-HR"/>
        </w:rPr>
        <w:t>e</w:t>
      </w:r>
      <w:r w:rsidR="00E068E7">
        <w:rPr>
          <w:rFonts w:ascii="Times New Roman" w:hAnsi="Times New Roman"/>
          <w:lang w:eastAsia="hr-HR"/>
        </w:rPr>
        <w:t xml:space="preserve"> pravn</w:t>
      </w:r>
      <w:r w:rsidR="006501A0">
        <w:rPr>
          <w:rFonts w:ascii="Times New Roman" w:hAnsi="Times New Roman"/>
          <w:lang w:eastAsia="hr-HR"/>
        </w:rPr>
        <w:t>e</w:t>
      </w:r>
      <w:r w:rsidR="00E068E7">
        <w:rPr>
          <w:rFonts w:ascii="Times New Roman" w:hAnsi="Times New Roman"/>
          <w:lang w:eastAsia="hr-HR"/>
        </w:rPr>
        <w:t xml:space="preserve"> sigurnost</w:t>
      </w:r>
      <w:r w:rsidR="006501A0">
        <w:rPr>
          <w:rFonts w:ascii="Times New Roman" w:hAnsi="Times New Roman"/>
          <w:lang w:eastAsia="hr-HR"/>
        </w:rPr>
        <w:t>.</w:t>
      </w:r>
      <w:r w:rsidR="00E068E7">
        <w:rPr>
          <w:rFonts w:ascii="Times New Roman" w:hAnsi="Times New Roman"/>
          <w:lang w:eastAsia="hr-HR"/>
        </w:rPr>
        <w:t xml:space="preserve"> </w:t>
      </w:r>
    </w:p>
    <w:p w14:paraId="7D3306B2" w14:textId="77777777" w:rsidR="00E068E7" w:rsidRDefault="00E068E7" w:rsidP="0056564E">
      <w:pPr>
        <w:spacing w:after="0" w:line="240" w:lineRule="auto"/>
        <w:jc w:val="both"/>
        <w:rPr>
          <w:rFonts w:ascii="Times New Roman" w:hAnsi="Times New Roman"/>
          <w:lang w:eastAsia="hr-HR"/>
        </w:rPr>
      </w:pPr>
    </w:p>
    <w:p w14:paraId="7D3306B3" w14:textId="77777777" w:rsidR="004252E0" w:rsidRDefault="00C13CE0" w:rsidP="00C13CE0">
      <w:pPr>
        <w:spacing w:line="240" w:lineRule="auto"/>
        <w:jc w:val="both"/>
        <w:rPr>
          <w:rFonts w:ascii="Times New Roman" w:hAnsi="Times New Roman"/>
          <w:color w:val="000000"/>
        </w:rPr>
      </w:pPr>
      <w:r w:rsidRPr="0056564E">
        <w:rPr>
          <w:rFonts w:ascii="Times New Roman" w:hAnsi="Times New Roman"/>
          <w:color w:val="000000"/>
        </w:rPr>
        <w:t>Zadaća Ministarstva financija u budućem razdoblju prvenstveno će biti usmjerena na aktiviranju svih davatelja koncesija da u što većoj mjeri pristupe razvoju novih modela koncesija i predlože određena poboljšanja kako posebnom zakonskom regulativom tako i podzakonskim aktima, te smjernicama i planovima davanja koncesija u svrhu povećanja gospodarske</w:t>
      </w:r>
      <w:r w:rsidRPr="00235530">
        <w:rPr>
          <w:rFonts w:ascii="Times New Roman" w:hAnsi="Times New Roman"/>
          <w:color w:val="000000"/>
        </w:rPr>
        <w:t xml:space="preserve"> aktivnosti putem koncesija. Za očekivati je razvitak i unapređenje budućih novih modela koncesija kroz razne prioritetne projekte zacrtane Vladinom politikom u smislu jačanja gospodarskog opravka i poticanja novih investicijskih ulaganja u RH. </w:t>
      </w:r>
    </w:p>
    <w:p w14:paraId="7D3306B4" w14:textId="77777777" w:rsidR="00911414" w:rsidRPr="00235530" w:rsidRDefault="00911414" w:rsidP="00E127C1">
      <w:pPr>
        <w:spacing w:after="0" w:line="240" w:lineRule="auto"/>
        <w:jc w:val="both"/>
        <w:rPr>
          <w:rFonts w:ascii="Times New Roman" w:hAnsi="Times New Roman"/>
          <w:b/>
        </w:rPr>
      </w:pPr>
      <w:r w:rsidRPr="00235530">
        <w:rPr>
          <w:rFonts w:ascii="Times New Roman" w:hAnsi="Times New Roman"/>
          <w:b/>
        </w:rPr>
        <w:t>POPIS SLIKA I TABLICA:</w:t>
      </w:r>
    </w:p>
    <w:p w14:paraId="7D3306B5" w14:textId="77777777" w:rsidR="00911414" w:rsidRPr="00235530" w:rsidRDefault="00911414" w:rsidP="00E127C1">
      <w:pPr>
        <w:spacing w:after="0" w:line="240" w:lineRule="auto"/>
        <w:jc w:val="both"/>
        <w:rPr>
          <w:rFonts w:ascii="Times New Roman" w:hAnsi="Times New Roman"/>
        </w:rPr>
      </w:pPr>
    </w:p>
    <w:p w14:paraId="7D3306B6" w14:textId="77777777" w:rsidR="00911414" w:rsidRPr="0081215C" w:rsidRDefault="00911414" w:rsidP="00E127C1">
      <w:pPr>
        <w:spacing w:after="0" w:line="240" w:lineRule="auto"/>
        <w:jc w:val="both"/>
        <w:rPr>
          <w:rFonts w:ascii="Times New Roman" w:hAnsi="Times New Roman"/>
          <w:sz w:val="20"/>
          <w:szCs w:val="20"/>
        </w:rPr>
      </w:pPr>
      <w:r w:rsidRPr="0081215C">
        <w:rPr>
          <w:rFonts w:ascii="Times New Roman" w:hAnsi="Times New Roman"/>
          <w:sz w:val="20"/>
          <w:szCs w:val="20"/>
        </w:rPr>
        <w:t xml:space="preserve">Slika </w:t>
      </w:r>
      <w:r w:rsidR="002E0510" w:rsidRPr="0081215C">
        <w:rPr>
          <w:rFonts w:ascii="Times New Roman" w:hAnsi="Times New Roman"/>
          <w:sz w:val="20"/>
          <w:szCs w:val="20"/>
        </w:rPr>
        <w:t>1</w:t>
      </w:r>
      <w:r w:rsidRPr="0081215C">
        <w:rPr>
          <w:rFonts w:ascii="Times New Roman" w:hAnsi="Times New Roman"/>
          <w:sz w:val="20"/>
          <w:szCs w:val="20"/>
        </w:rPr>
        <w:t xml:space="preserve">. Struktura </w:t>
      </w:r>
      <w:r w:rsidR="0080396B" w:rsidRPr="0081215C">
        <w:rPr>
          <w:rFonts w:ascii="Times New Roman" w:hAnsi="Times New Roman"/>
          <w:sz w:val="20"/>
          <w:szCs w:val="20"/>
        </w:rPr>
        <w:t xml:space="preserve">ukupnih prihoda od naknada za koncesiju </w:t>
      </w:r>
    </w:p>
    <w:p w14:paraId="7D3306B7" w14:textId="77777777" w:rsidR="00911414" w:rsidRPr="00235530" w:rsidRDefault="00911414" w:rsidP="00E127C1">
      <w:pPr>
        <w:spacing w:after="0" w:line="240" w:lineRule="auto"/>
        <w:jc w:val="both"/>
        <w:rPr>
          <w:rFonts w:ascii="Times New Roman" w:hAnsi="Times New Roman"/>
        </w:rPr>
      </w:pPr>
    </w:p>
    <w:p w14:paraId="7D3306B8" w14:textId="77777777" w:rsidR="00911414" w:rsidRPr="00235530" w:rsidRDefault="00911414" w:rsidP="00E127C1">
      <w:pPr>
        <w:spacing w:after="0" w:line="240" w:lineRule="auto"/>
        <w:jc w:val="both"/>
        <w:rPr>
          <w:rFonts w:ascii="Times New Roman" w:hAnsi="Times New Roman"/>
        </w:rPr>
      </w:pPr>
    </w:p>
    <w:p w14:paraId="7D3306B9" w14:textId="77777777" w:rsidR="00911414" w:rsidRPr="00235530" w:rsidRDefault="00911414" w:rsidP="00E127C1">
      <w:pPr>
        <w:spacing w:after="0" w:line="240" w:lineRule="auto"/>
        <w:jc w:val="both"/>
        <w:rPr>
          <w:rFonts w:ascii="Times New Roman" w:hAnsi="Times New Roman"/>
          <w:sz w:val="20"/>
          <w:szCs w:val="20"/>
        </w:rPr>
      </w:pPr>
      <w:r w:rsidRPr="00235530">
        <w:rPr>
          <w:rFonts w:ascii="Times New Roman" w:hAnsi="Times New Roman"/>
          <w:sz w:val="20"/>
          <w:szCs w:val="20"/>
        </w:rPr>
        <w:t xml:space="preserve">Tablica 1. </w:t>
      </w:r>
      <w:r w:rsidR="00456CA0" w:rsidRPr="00235530">
        <w:rPr>
          <w:rFonts w:ascii="Times New Roman" w:hAnsi="Times New Roman"/>
          <w:sz w:val="20"/>
          <w:szCs w:val="20"/>
        </w:rPr>
        <w:t>Prikaz broja ugovora o koncesiji u Registru koncesija</w:t>
      </w:r>
    </w:p>
    <w:p w14:paraId="7D3306BA" w14:textId="77777777" w:rsidR="00911414" w:rsidRPr="00235530" w:rsidRDefault="00911414" w:rsidP="00E127C1">
      <w:pPr>
        <w:spacing w:after="0" w:line="240" w:lineRule="auto"/>
        <w:jc w:val="both"/>
        <w:rPr>
          <w:rFonts w:ascii="Times New Roman" w:hAnsi="Times New Roman"/>
          <w:sz w:val="20"/>
          <w:szCs w:val="20"/>
        </w:rPr>
      </w:pPr>
    </w:p>
    <w:p w14:paraId="7D3306BB" w14:textId="77777777" w:rsidR="00E17C10" w:rsidRPr="00235530" w:rsidRDefault="00911414" w:rsidP="00E127C1">
      <w:pPr>
        <w:spacing w:after="0" w:line="240" w:lineRule="auto"/>
        <w:jc w:val="both"/>
        <w:rPr>
          <w:rFonts w:ascii="Times New Roman" w:hAnsi="Times New Roman"/>
          <w:sz w:val="20"/>
          <w:szCs w:val="20"/>
          <w:lang w:eastAsia="hr-HR"/>
        </w:rPr>
      </w:pPr>
      <w:r w:rsidRPr="00235530">
        <w:rPr>
          <w:rFonts w:ascii="Times New Roman" w:hAnsi="Times New Roman"/>
          <w:sz w:val="20"/>
          <w:szCs w:val="20"/>
        </w:rPr>
        <w:t xml:space="preserve">Tablica 2. </w:t>
      </w:r>
      <w:r w:rsidR="00E17C10" w:rsidRPr="00235530">
        <w:rPr>
          <w:rFonts w:ascii="Times New Roman" w:hAnsi="Times New Roman"/>
          <w:sz w:val="20"/>
          <w:szCs w:val="20"/>
          <w:lang w:eastAsia="hr-HR"/>
        </w:rPr>
        <w:t>Prikaz ukupnih prihoda od naknade za koncesiju</w:t>
      </w:r>
    </w:p>
    <w:p w14:paraId="7D3306BC" w14:textId="77777777" w:rsidR="00E17C10" w:rsidRPr="00235530" w:rsidRDefault="00E17C10" w:rsidP="00E127C1">
      <w:pPr>
        <w:spacing w:after="0" w:line="240" w:lineRule="auto"/>
        <w:jc w:val="both"/>
        <w:rPr>
          <w:rFonts w:ascii="Times New Roman" w:hAnsi="Times New Roman"/>
          <w:sz w:val="20"/>
          <w:szCs w:val="20"/>
          <w:lang w:eastAsia="hr-HR"/>
        </w:rPr>
      </w:pPr>
    </w:p>
    <w:p w14:paraId="7D3306BD" w14:textId="77777777" w:rsidR="00E17C10" w:rsidRPr="00235530" w:rsidRDefault="00E17C10" w:rsidP="00E17C10">
      <w:pPr>
        <w:spacing w:after="0" w:line="240" w:lineRule="auto"/>
        <w:jc w:val="both"/>
        <w:rPr>
          <w:rFonts w:ascii="Times New Roman" w:hAnsi="Times New Roman"/>
          <w:sz w:val="20"/>
          <w:szCs w:val="20"/>
          <w:lang w:eastAsia="hr-HR"/>
        </w:rPr>
      </w:pPr>
      <w:r w:rsidRPr="00235530">
        <w:rPr>
          <w:rFonts w:ascii="Times New Roman" w:hAnsi="Times New Roman"/>
          <w:sz w:val="20"/>
          <w:szCs w:val="20"/>
        </w:rPr>
        <w:t xml:space="preserve">Tablica 3. </w:t>
      </w:r>
      <w:r w:rsidRPr="00235530">
        <w:rPr>
          <w:rFonts w:ascii="Times New Roman" w:hAnsi="Times New Roman"/>
          <w:sz w:val="20"/>
          <w:szCs w:val="20"/>
          <w:lang w:eastAsia="hr-HR"/>
        </w:rPr>
        <w:t>Prikaz ukupnih prihoda od naknade za koncesiju po vrstama koncesije</w:t>
      </w:r>
    </w:p>
    <w:p w14:paraId="7D3306BE" w14:textId="77777777" w:rsidR="00911414" w:rsidRPr="00235530" w:rsidRDefault="00911414" w:rsidP="00E127C1">
      <w:pPr>
        <w:spacing w:after="0" w:line="240" w:lineRule="auto"/>
        <w:jc w:val="both"/>
        <w:rPr>
          <w:rFonts w:ascii="Times New Roman" w:hAnsi="Times New Roman"/>
          <w:sz w:val="20"/>
          <w:szCs w:val="20"/>
        </w:rPr>
      </w:pPr>
    </w:p>
    <w:p w14:paraId="7D3306BF" w14:textId="77777777" w:rsidR="00911414" w:rsidRPr="00235530" w:rsidRDefault="00911414" w:rsidP="00711887">
      <w:pPr>
        <w:spacing w:after="0" w:line="240" w:lineRule="auto"/>
        <w:ind w:left="851" w:hanging="851"/>
        <w:jc w:val="both"/>
        <w:rPr>
          <w:rFonts w:ascii="Times New Roman" w:hAnsi="Times New Roman"/>
          <w:sz w:val="20"/>
          <w:szCs w:val="20"/>
        </w:rPr>
      </w:pPr>
      <w:r w:rsidRPr="00235530">
        <w:rPr>
          <w:rFonts w:ascii="Times New Roman" w:hAnsi="Times New Roman"/>
          <w:sz w:val="20"/>
          <w:szCs w:val="20"/>
        </w:rPr>
        <w:t>Tablica</w:t>
      </w:r>
      <w:r w:rsidR="00E17C10" w:rsidRPr="00235530">
        <w:rPr>
          <w:rFonts w:ascii="Times New Roman" w:hAnsi="Times New Roman"/>
          <w:sz w:val="20"/>
          <w:szCs w:val="20"/>
        </w:rPr>
        <w:t xml:space="preserve"> 4</w:t>
      </w:r>
      <w:r w:rsidRPr="00235530">
        <w:rPr>
          <w:rFonts w:ascii="Times New Roman" w:hAnsi="Times New Roman"/>
          <w:sz w:val="20"/>
          <w:szCs w:val="20"/>
        </w:rPr>
        <w:t xml:space="preserve">. </w:t>
      </w:r>
      <w:r w:rsidR="00E17C10" w:rsidRPr="00235530">
        <w:rPr>
          <w:rFonts w:ascii="Times New Roman" w:hAnsi="Times New Roman"/>
          <w:sz w:val="20"/>
          <w:szCs w:val="20"/>
          <w:lang w:eastAsia="hr-HR"/>
        </w:rPr>
        <w:t xml:space="preserve">Prikaz prihoda Državnog proračuna (izravni i s osnova zajedničkih prihoda) od </w:t>
      </w:r>
      <w:r w:rsidR="00D11465">
        <w:rPr>
          <w:rFonts w:ascii="Times New Roman" w:hAnsi="Times New Roman"/>
          <w:sz w:val="20"/>
          <w:szCs w:val="20"/>
          <w:lang w:eastAsia="hr-HR"/>
        </w:rPr>
        <w:t xml:space="preserve">naknade za koncesiju po vrstama </w:t>
      </w:r>
      <w:r w:rsidR="00E17C10" w:rsidRPr="00235530">
        <w:rPr>
          <w:rFonts w:ascii="Times New Roman" w:hAnsi="Times New Roman"/>
          <w:sz w:val="20"/>
          <w:szCs w:val="20"/>
          <w:lang w:eastAsia="hr-HR"/>
        </w:rPr>
        <w:t>koncesije</w:t>
      </w:r>
    </w:p>
    <w:p w14:paraId="7D3306C0" w14:textId="77777777" w:rsidR="00911414" w:rsidRPr="00235530" w:rsidRDefault="00911414" w:rsidP="00E127C1">
      <w:pPr>
        <w:spacing w:after="0" w:line="240" w:lineRule="auto"/>
        <w:jc w:val="both"/>
        <w:rPr>
          <w:rFonts w:ascii="Times New Roman" w:hAnsi="Times New Roman"/>
          <w:sz w:val="20"/>
          <w:szCs w:val="20"/>
        </w:rPr>
      </w:pPr>
    </w:p>
    <w:p w14:paraId="7D3306C1" w14:textId="77777777" w:rsidR="00911414" w:rsidRPr="00235530" w:rsidRDefault="00911414" w:rsidP="00E127C1">
      <w:pPr>
        <w:spacing w:after="0" w:line="240" w:lineRule="auto"/>
        <w:jc w:val="both"/>
        <w:rPr>
          <w:rFonts w:ascii="Times New Roman" w:hAnsi="Times New Roman"/>
          <w:sz w:val="20"/>
          <w:szCs w:val="20"/>
        </w:rPr>
      </w:pPr>
      <w:r w:rsidRPr="00235530">
        <w:rPr>
          <w:rFonts w:ascii="Times New Roman" w:hAnsi="Times New Roman"/>
          <w:sz w:val="20"/>
          <w:szCs w:val="20"/>
        </w:rPr>
        <w:t xml:space="preserve">Tablica </w:t>
      </w:r>
      <w:r w:rsidR="002E0510" w:rsidRPr="00235530">
        <w:rPr>
          <w:rFonts w:ascii="Times New Roman" w:hAnsi="Times New Roman"/>
          <w:sz w:val="20"/>
          <w:szCs w:val="20"/>
        </w:rPr>
        <w:t>5</w:t>
      </w:r>
      <w:r w:rsidRPr="00235530">
        <w:rPr>
          <w:rFonts w:ascii="Times New Roman" w:hAnsi="Times New Roman"/>
          <w:sz w:val="20"/>
          <w:szCs w:val="20"/>
        </w:rPr>
        <w:t xml:space="preserve">. </w:t>
      </w:r>
      <w:r w:rsidR="00E17C10" w:rsidRPr="00235530">
        <w:rPr>
          <w:rFonts w:ascii="Times New Roman" w:hAnsi="Times New Roman"/>
          <w:sz w:val="20"/>
          <w:szCs w:val="20"/>
          <w:lang w:eastAsia="hr-HR"/>
        </w:rPr>
        <w:t>Prikaz prihoda JLPRS-a  od naknade za koncesiju s osnova zajedničkih prihoda po vrstama koncesije</w:t>
      </w:r>
    </w:p>
    <w:p w14:paraId="7D3306C2" w14:textId="77777777" w:rsidR="00911414" w:rsidRPr="00235530" w:rsidRDefault="00911414" w:rsidP="00E127C1">
      <w:pPr>
        <w:spacing w:after="0" w:line="240" w:lineRule="auto"/>
        <w:jc w:val="both"/>
        <w:rPr>
          <w:rFonts w:ascii="Times New Roman" w:hAnsi="Times New Roman"/>
          <w:sz w:val="20"/>
          <w:szCs w:val="20"/>
        </w:rPr>
      </w:pPr>
    </w:p>
    <w:p w14:paraId="7D3306C3" w14:textId="77777777" w:rsidR="00911414" w:rsidRPr="00235530" w:rsidRDefault="00911414" w:rsidP="00E127C1">
      <w:pPr>
        <w:spacing w:after="0" w:line="240" w:lineRule="auto"/>
        <w:jc w:val="both"/>
        <w:rPr>
          <w:rFonts w:ascii="Times New Roman" w:hAnsi="Times New Roman"/>
          <w:sz w:val="20"/>
          <w:szCs w:val="20"/>
        </w:rPr>
      </w:pPr>
      <w:r w:rsidRPr="00235530">
        <w:rPr>
          <w:rFonts w:ascii="Times New Roman" w:hAnsi="Times New Roman"/>
          <w:sz w:val="20"/>
          <w:szCs w:val="20"/>
        </w:rPr>
        <w:t xml:space="preserve">Tablica </w:t>
      </w:r>
      <w:r w:rsidR="002E0510" w:rsidRPr="00235530">
        <w:rPr>
          <w:rFonts w:ascii="Times New Roman" w:hAnsi="Times New Roman"/>
          <w:sz w:val="20"/>
          <w:szCs w:val="20"/>
        </w:rPr>
        <w:t>6</w:t>
      </w:r>
      <w:r w:rsidRPr="00235530">
        <w:rPr>
          <w:rFonts w:ascii="Times New Roman" w:hAnsi="Times New Roman"/>
          <w:sz w:val="20"/>
          <w:szCs w:val="20"/>
        </w:rPr>
        <w:t>. Broj Obavijesti o namjeri osnivanja stručnih povjerenstava</w:t>
      </w:r>
    </w:p>
    <w:p w14:paraId="7D3306C4" w14:textId="77777777" w:rsidR="00911414" w:rsidRPr="00235530" w:rsidRDefault="00911414" w:rsidP="00E127C1">
      <w:pPr>
        <w:spacing w:after="0" w:line="240" w:lineRule="auto"/>
        <w:jc w:val="both"/>
        <w:rPr>
          <w:rFonts w:ascii="Times New Roman" w:hAnsi="Times New Roman"/>
          <w:sz w:val="20"/>
          <w:szCs w:val="20"/>
        </w:rPr>
      </w:pPr>
    </w:p>
    <w:p w14:paraId="7D3306C5" w14:textId="77777777" w:rsidR="00911414" w:rsidRPr="00235530" w:rsidRDefault="00911414" w:rsidP="00711887">
      <w:pPr>
        <w:spacing w:after="0" w:line="240" w:lineRule="auto"/>
        <w:ind w:left="851" w:hanging="851"/>
        <w:jc w:val="both"/>
        <w:rPr>
          <w:rFonts w:ascii="Times New Roman" w:hAnsi="Times New Roman"/>
          <w:sz w:val="20"/>
          <w:szCs w:val="20"/>
        </w:rPr>
      </w:pPr>
      <w:r w:rsidRPr="00235530">
        <w:rPr>
          <w:rFonts w:ascii="Times New Roman" w:hAnsi="Times New Roman"/>
          <w:sz w:val="20"/>
          <w:szCs w:val="20"/>
        </w:rPr>
        <w:t xml:space="preserve">Tablica </w:t>
      </w:r>
      <w:r w:rsidR="002E0510" w:rsidRPr="00235530">
        <w:rPr>
          <w:rFonts w:ascii="Times New Roman" w:hAnsi="Times New Roman"/>
          <w:sz w:val="20"/>
          <w:szCs w:val="20"/>
        </w:rPr>
        <w:t>7</w:t>
      </w:r>
      <w:r w:rsidR="00711887" w:rsidRPr="00235530">
        <w:rPr>
          <w:rFonts w:ascii="Times New Roman" w:hAnsi="Times New Roman"/>
          <w:sz w:val="20"/>
          <w:szCs w:val="20"/>
        </w:rPr>
        <w:t>. Broj postupaka davanja koncesija prema obavijestima o namjeri davanja koncesija objavljenima u Narodnim novinama – Elektronički oglasnik javne nabave (EOJN)</w:t>
      </w:r>
    </w:p>
    <w:p w14:paraId="7D3306C6" w14:textId="77777777" w:rsidR="00711887" w:rsidRPr="00235530" w:rsidRDefault="00711887" w:rsidP="00711887">
      <w:pPr>
        <w:spacing w:after="0" w:line="240" w:lineRule="auto"/>
        <w:jc w:val="both"/>
        <w:rPr>
          <w:rFonts w:ascii="Times New Roman" w:hAnsi="Times New Roman"/>
          <w:sz w:val="20"/>
          <w:szCs w:val="20"/>
        </w:rPr>
      </w:pPr>
    </w:p>
    <w:p w14:paraId="7D3306C7" w14:textId="77777777" w:rsidR="00911414" w:rsidRPr="00235530" w:rsidRDefault="00911414" w:rsidP="00E127C1">
      <w:pPr>
        <w:spacing w:after="0" w:line="240" w:lineRule="auto"/>
        <w:jc w:val="both"/>
        <w:rPr>
          <w:rFonts w:ascii="Times New Roman" w:hAnsi="Times New Roman"/>
          <w:sz w:val="20"/>
          <w:szCs w:val="20"/>
        </w:rPr>
      </w:pPr>
      <w:r w:rsidRPr="00235530">
        <w:rPr>
          <w:rFonts w:ascii="Times New Roman" w:hAnsi="Times New Roman"/>
          <w:sz w:val="20"/>
          <w:szCs w:val="20"/>
        </w:rPr>
        <w:t xml:space="preserve">Tablica </w:t>
      </w:r>
      <w:r w:rsidR="002E0510" w:rsidRPr="00235530">
        <w:rPr>
          <w:rFonts w:ascii="Times New Roman" w:hAnsi="Times New Roman"/>
          <w:sz w:val="20"/>
          <w:szCs w:val="20"/>
        </w:rPr>
        <w:t>8</w:t>
      </w:r>
      <w:r w:rsidRPr="00235530">
        <w:rPr>
          <w:rFonts w:ascii="Times New Roman" w:hAnsi="Times New Roman"/>
          <w:sz w:val="20"/>
          <w:szCs w:val="20"/>
        </w:rPr>
        <w:t xml:space="preserve">. </w:t>
      </w:r>
      <w:r w:rsidR="00C7213C" w:rsidRPr="00235530">
        <w:rPr>
          <w:rFonts w:ascii="Times New Roman" w:hAnsi="Times New Roman"/>
          <w:sz w:val="20"/>
          <w:szCs w:val="20"/>
        </w:rPr>
        <w:t xml:space="preserve">Broj </w:t>
      </w:r>
      <w:r w:rsidR="00B26A1F" w:rsidRPr="00235530">
        <w:rPr>
          <w:rFonts w:ascii="Times New Roman" w:hAnsi="Times New Roman"/>
          <w:sz w:val="20"/>
          <w:szCs w:val="20"/>
        </w:rPr>
        <w:t xml:space="preserve">novosklopljenih </w:t>
      </w:r>
      <w:r w:rsidR="00C7213C" w:rsidRPr="00235530">
        <w:rPr>
          <w:rFonts w:ascii="Times New Roman" w:hAnsi="Times New Roman"/>
          <w:sz w:val="20"/>
          <w:szCs w:val="20"/>
        </w:rPr>
        <w:t>sklopljenih ugovora</w:t>
      </w:r>
      <w:r w:rsidR="00B26A1F" w:rsidRPr="00235530">
        <w:rPr>
          <w:rFonts w:ascii="Times New Roman" w:hAnsi="Times New Roman"/>
          <w:sz w:val="20"/>
          <w:szCs w:val="20"/>
        </w:rPr>
        <w:t xml:space="preserve"> tijekom 201</w:t>
      </w:r>
      <w:r w:rsidR="004252E0">
        <w:rPr>
          <w:rFonts w:ascii="Times New Roman" w:hAnsi="Times New Roman"/>
          <w:sz w:val="20"/>
          <w:szCs w:val="20"/>
        </w:rPr>
        <w:t>8</w:t>
      </w:r>
      <w:r w:rsidR="00B26A1F" w:rsidRPr="00235530">
        <w:rPr>
          <w:rFonts w:ascii="Times New Roman" w:hAnsi="Times New Roman"/>
          <w:sz w:val="20"/>
          <w:szCs w:val="20"/>
        </w:rPr>
        <w:t>. i 201</w:t>
      </w:r>
      <w:r w:rsidR="004252E0">
        <w:rPr>
          <w:rFonts w:ascii="Times New Roman" w:hAnsi="Times New Roman"/>
          <w:sz w:val="20"/>
          <w:szCs w:val="20"/>
        </w:rPr>
        <w:t>9</w:t>
      </w:r>
      <w:r w:rsidR="00B26A1F" w:rsidRPr="00235530">
        <w:rPr>
          <w:rFonts w:ascii="Times New Roman" w:hAnsi="Times New Roman"/>
          <w:sz w:val="20"/>
          <w:szCs w:val="20"/>
        </w:rPr>
        <w:t>. godine</w:t>
      </w:r>
    </w:p>
    <w:p w14:paraId="7D3306C8" w14:textId="77777777" w:rsidR="00B26A1F" w:rsidRPr="00235530" w:rsidRDefault="00B26A1F" w:rsidP="00E127C1">
      <w:pPr>
        <w:spacing w:after="0" w:line="240" w:lineRule="auto"/>
        <w:jc w:val="both"/>
        <w:rPr>
          <w:rFonts w:ascii="Times New Roman" w:hAnsi="Times New Roman"/>
          <w:sz w:val="20"/>
          <w:szCs w:val="20"/>
        </w:rPr>
      </w:pPr>
    </w:p>
    <w:p w14:paraId="7D3306C9" w14:textId="77777777" w:rsidR="00B26A1F" w:rsidRPr="00235530" w:rsidRDefault="00B26A1F" w:rsidP="00E127C1">
      <w:pPr>
        <w:spacing w:after="0" w:line="240" w:lineRule="auto"/>
        <w:jc w:val="both"/>
        <w:rPr>
          <w:rFonts w:ascii="Times New Roman" w:hAnsi="Times New Roman"/>
          <w:bCs/>
          <w:sz w:val="20"/>
          <w:szCs w:val="20"/>
          <w:lang w:eastAsia="hr-HR"/>
        </w:rPr>
      </w:pPr>
      <w:r w:rsidRPr="00235530">
        <w:rPr>
          <w:rFonts w:ascii="Times New Roman" w:hAnsi="Times New Roman"/>
          <w:sz w:val="20"/>
          <w:szCs w:val="20"/>
        </w:rPr>
        <w:t xml:space="preserve">Tablica 9. </w:t>
      </w:r>
      <w:r w:rsidRPr="00235530">
        <w:rPr>
          <w:rFonts w:ascii="Times New Roman" w:hAnsi="Times New Roman"/>
          <w:bCs/>
          <w:sz w:val="20"/>
          <w:szCs w:val="20"/>
          <w:lang w:eastAsia="hr-HR"/>
        </w:rPr>
        <w:t>Planirani broj koncesija u 201</w:t>
      </w:r>
      <w:r w:rsidR="00536104">
        <w:rPr>
          <w:rFonts w:ascii="Times New Roman" w:hAnsi="Times New Roman"/>
          <w:bCs/>
          <w:sz w:val="20"/>
          <w:szCs w:val="20"/>
          <w:lang w:eastAsia="hr-HR"/>
        </w:rPr>
        <w:t>9</w:t>
      </w:r>
      <w:r w:rsidRPr="00235530">
        <w:rPr>
          <w:rFonts w:ascii="Times New Roman" w:hAnsi="Times New Roman"/>
          <w:bCs/>
          <w:sz w:val="20"/>
          <w:szCs w:val="20"/>
          <w:lang w:eastAsia="hr-HR"/>
        </w:rPr>
        <w:t>. godini i broj sklopljenih ugovora tijekom 201</w:t>
      </w:r>
      <w:r w:rsidR="004252E0">
        <w:rPr>
          <w:rFonts w:ascii="Times New Roman" w:hAnsi="Times New Roman"/>
          <w:bCs/>
          <w:sz w:val="20"/>
          <w:szCs w:val="20"/>
          <w:lang w:eastAsia="hr-HR"/>
        </w:rPr>
        <w:t>9</w:t>
      </w:r>
      <w:r w:rsidRPr="00235530">
        <w:rPr>
          <w:rFonts w:ascii="Times New Roman" w:hAnsi="Times New Roman"/>
          <w:bCs/>
          <w:sz w:val="20"/>
          <w:szCs w:val="20"/>
          <w:lang w:eastAsia="hr-HR"/>
        </w:rPr>
        <w:t>. godine</w:t>
      </w:r>
    </w:p>
    <w:p w14:paraId="7D3306CA" w14:textId="77777777" w:rsidR="00BF5999" w:rsidRPr="00235530" w:rsidRDefault="00BF5999" w:rsidP="00E127C1">
      <w:pPr>
        <w:spacing w:after="0" w:line="240" w:lineRule="auto"/>
        <w:jc w:val="both"/>
        <w:rPr>
          <w:rFonts w:ascii="Times New Roman" w:hAnsi="Times New Roman"/>
          <w:sz w:val="20"/>
          <w:szCs w:val="20"/>
        </w:rPr>
      </w:pPr>
    </w:p>
    <w:p w14:paraId="7D3306CB" w14:textId="77777777" w:rsidR="00911414" w:rsidRPr="00235530" w:rsidRDefault="00BF5999" w:rsidP="0003213C">
      <w:pPr>
        <w:spacing w:after="0" w:line="240" w:lineRule="auto"/>
        <w:jc w:val="both"/>
        <w:rPr>
          <w:rFonts w:ascii="Times New Roman" w:hAnsi="Times New Roman"/>
          <w:sz w:val="20"/>
          <w:szCs w:val="20"/>
        </w:rPr>
      </w:pPr>
      <w:r w:rsidRPr="00235530">
        <w:rPr>
          <w:rFonts w:ascii="Times New Roman" w:hAnsi="Times New Roman"/>
          <w:sz w:val="20"/>
          <w:szCs w:val="20"/>
        </w:rPr>
        <w:t xml:space="preserve">Tablica </w:t>
      </w:r>
      <w:r w:rsidR="004252E0">
        <w:rPr>
          <w:rFonts w:ascii="Times New Roman" w:hAnsi="Times New Roman"/>
          <w:sz w:val="20"/>
          <w:szCs w:val="20"/>
        </w:rPr>
        <w:t>10</w:t>
      </w:r>
      <w:r w:rsidRPr="00235530">
        <w:rPr>
          <w:rFonts w:ascii="Times New Roman" w:hAnsi="Times New Roman"/>
          <w:sz w:val="20"/>
          <w:szCs w:val="20"/>
        </w:rPr>
        <w:t>: Iznos dugovanja prema davateljima koncesija na dan 31. prosinca 201</w:t>
      </w:r>
      <w:r w:rsidR="004252E0">
        <w:rPr>
          <w:rFonts w:ascii="Times New Roman" w:hAnsi="Times New Roman"/>
          <w:sz w:val="20"/>
          <w:szCs w:val="20"/>
        </w:rPr>
        <w:t>9</w:t>
      </w:r>
      <w:r w:rsidRPr="00235530">
        <w:rPr>
          <w:rFonts w:ascii="Times New Roman" w:hAnsi="Times New Roman"/>
          <w:sz w:val="20"/>
          <w:szCs w:val="20"/>
        </w:rPr>
        <w:t>. godine</w:t>
      </w:r>
    </w:p>
    <w:p w14:paraId="7D3306CC" w14:textId="77777777" w:rsidR="00BF5999" w:rsidRPr="00235530" w:rsidRDefault="00BF5999" w:rsidP="0003213C">
      <w:pPr>
        <w:spacing w:after="0" w:line="240" w:lineRule="auto"/>
        <w:jc w:val="both"/>
        <w:rPr>
          <w:rFonts w:ascii="Times New Roman" w:hAnsi="Times New Roman"/>
          <w:sz w:val="20"/>
          <w:szCs w:val="20"/>
        </w:rPr>
      </w:pPr>
    </w:p>
    <w:p w14:paraId="7D3306CD" w14:textId="77777777" w:rsidR="00711887" w:rsidRPr="00235530" w:rsidRDefault="00BF5999" w:rsidP="00BF5999">
      <w:pPr>
        <w:spacing w:after="0" w:line="240" w:lineRule="auto"/>
        <w:jc w:val="both"/>
        <w:rPr>
          <w:rFonts w:ascii="Times New Roman" w:eastAsia="Times New Roman" w:hAnsi="Times New Roman"/>
          <w:sz w:val="20"/>
          <w:szCs w:val="20"/>
          <w:lang w:eastAsia="hr-HR"/>
        </w:rPr>
      </w:pPr>
      <w:r w:rsidRPr="00235530">
        <w:rPr>
          <w:rFonts w:ascii="Times New Roman" w:eastAsia="Times New Roman" w:hAnsi="Times New Roman"/>
          <w:sz w:val="20"/>
          <w:szCs w:val="20"/>
          <w:lang w:eastAsia="hr-HR"/>
        </w:rPr>
        <w:t xml:space="preserve">Tablica </w:t>
      </w:r>
      <w:r w:rsidR="004252E0">
        <w:rPr>
          <w:rFonts w:ascii="Times New Roman" w:eastAsia="Times New Roman" w:hAnsi="Times New Roman"/>
          <w:sz w:val="20"/>
          <w:szCs w:val="20"/>
          <w:lang w:eastAsia="hr-HR"/>
        </w:rPr>
        <w:t>11</w:t>
      </w:r>
      <w:r w:rsidRPr="00235530">
        <w:rPr>
          <w:rFonts w:ascii="Times New Roman" w:eastAsia="Times New Roman" w:hAnsi="Times New Roman"/>
          <w:sz w:val="20"/>
          <w:szCs w:val="20"/>
          <w:lang w:eastAsia="hr-HR"/>
        </w:rPr>
        <w:t xml:space="preserve">: </w:t>
      </w:r>
      <w:r w:rsidR="00711887" w:rsidRPr="00235530">
        <w:rPr>
          <w:rFonts w:ascii="Times New Roman" w:hAnsi="Times New Roman"/>
          <w:bCs/>
          <w:sz w:val="20"/>
          <w:szCs w:val="20"/>
          <w:lang w:eastAsia="hr-HR"/>
        </w:rPr>
        <w:t>Iznos duga prema vrsti koncesije na dan 31. prosinca 201</w:t>
      </w:r>
      <w:r w:rsidR="004252E0">
        <w:rPr>
          <w:rFonts w:ascii="Times New Roman" w:hAnsi="Times New Roman"/>
          <w:bCs/>
          <w:sz w:val="20"/>
          <w:szCs w:val="20"/>
          <w:lang w:eastAsia="hr-HR"/>
        </w:rPr>
        <w:t>9</w:t>
      </w:r>
      <w:r w:rsidR="00711887" w:rsidRPr="00235530">
        <w:rPr>
          <w:rFonts w:ascii="Times New Roman" w:hAnsi="Times New Roman"/>
          <w:bCs/>
          <w:sz w:val="20"/>
          <w:szCs w:val="20"/>
          <w:lang w:eastAsia="hr-HR"/>
        </w:rPr>
        <w:t>. godine</w:t>
      </w:r>
      <w:r w:rsidR="00711887" w:rsidRPr="00235530">
        <w:rPr>
          <w:rFonts w:ascii="Times New Roman" w:eastAsia="Times New Roman" w:hAnsi="Times New Roman"/>
          <w:sz w:val="20"/>
          <w:szCs w:val="20"/>
          <w:lang w:eastAsia="hr-HR"/>
        </w:rPr>
        <w:t xml:space="preserve"> </w:t>
      </w:r>
    </w:p>
    <w:p w14:paraId="7D3306CE" w14:textId="77777777" w:rsidR="00711887" w:rsidRPr="00235530" w:rsidRDefault="00711887" w:rsidP="00BF5999">
      <w:pPr>
        <w:spacing w:after="0" w:line="240" w:lineRule="auto"/>
        <w:jc w:val="both"/>
        <w:rPr>
          <w:rFonts w:ascii="Times New Roman" w:eastAsia="Times New Roman" w:hAnsi="Times New Roman"/>
          <w:sz w:val="20"/>
          <w:szCs w:val="20"/>
          <w:lang w:eastAsia="hr-HR"/>
        </w:rPr>
      </w:pPr>
    </w:p>
    <w:p w14:paraId="7D3306CF" w14:textId="77777777" w:rsidR="00BF5999" w:rsidRPr="00235530" w:rsidRDefault="00711887" w:rsidP="00BF5999">
      <w:pPr>
        <w:spacing w:after="0" w:line="240" w:lineRule="auto"/>
        <w:jc w:val="both"/>
        <w:rPr>
          <w:rFonts w:ascii="Times New Roman" w:eastAsia="Times New Roman" w:hAnsi="Times New Roman"/>
          <w:sz w:val="20"/>
          <w:szCs w:val="20"/>
          <w:lang w:eastAsia="hr-HR"/>
        </w:rPr>
      </w:pPr>
      <w:r w:rsidRPr="00235530">
        <w:rPr>
          <w:rFonts w:ascii="Times New Roman" w:hAnsi="Times New Roman"/>
          <w:bCs/>
          <w:sz w:val="20"/>
          <w:szCs w:val="20"/>
          <w:lang w:eastAsia="hr-HR"/>
        </w:rPr>
        <w:t xml:space="preserve">Tablica </w:t>
      </w:r>
      <w:r w:rsidR="004252E0">
        <w:rPr>
          <w:rFonts w:ascii="Times New Roman" w:hAnsi="Times New Roman"/>
          <w:bCs/>
          <w:sz w:val="20"/>
          <w:szCs w:val="20"/>
          <w:lang w:eastAsia="hr-HR"/>
        </w:rPr>
        <w:t>12</w:t>
      </w:r>
      <w:r w:rsidRPr="00235530">
        <w:rPr>
          <w:rFonts w:ascii="Times New Roman" w:hAnsi="Times New Roman"/>
          <w:bCs/>
          <w:sz w:val="20"/>
          <w:szCs w:val="20"/>
          <w:lang w:eastAsia="hr-HR"/>
        </w:rPr>
        <w:t>:</w:t>
      </w:r>
      <w:r w:rsidRPr="00235530">
        <w:rPr>
          <w:rFonts w:ascii="Times New Roman" w:hAnsi="Times New Roman"/>
          <w:b/>
          <w:bCs/>
          <w:sz w:val="20"/>
          <w:szCs w:val="20"/>
          <w:lang w:eastAsia="hr-HR"/>
        </w:rPr>
        <w:t xml:space="preserve"> </w:t>
      </w:r>
      <w:r w:rsidR="00BF5999" w:rsidRPr="00235530">
        <w:rPr>
          <w:rFonts w:ascii="Times New Roman" w:eastAsia="Times New Roman" w:hAnsi="Times New Roman"/>
          <w:sz w:val="20"/>
          <w:szCs w:val="20"/>
          <w:lang w:eastAsia="hr-HR"/>
        </w:rPr>
        <w:t>Broj dužnika prema iznosu duga u kunama na dan 31. prosinca 201</w:t>
      </w:r>
      <w:r w:rsidR="004252E0">
        <w:rPr>
          <w:rFonts w:ascii="Times New Roman" w:eastAsia="Times New Roman" w:hAnsi="Times New Roman"/>
          <w:sz w:val="20"/>
          <w:szCs w:val="20"/>
          <w:lang w:eastAsia="hr-HR"/>
        </w:rPr>
        <w:t>9</w:t>
      </w:r>
      <w:r w:rsidR="00BF5999" w:rsidRPr="00235530">
        <w:rPr>
          <w:rFonts w:ascii="Times New Roman" w:eastAsia="Times New Roman" w:hAnsi="Times New Roman"/>
          <w:sz w:val="20"/>
          <w:szCs w:val="20"/>
          <w:lang w:eastAsia="hr-HR"/>
        </w:rPr>
        <w:t>. godine</w:t>
      </w:r>
    </w:p>
    <w:p w14:paraId="7D3306D0" w14:textId="77777777" w:rsidR="00990D4C" w:rsidRPr="00235530" w:rsidRDefault="00990D4C" w:rsidP="00BF5999">
      <w:pPr>
        <w:spacing w:after="0" w:line="240" w:lineRule="auto"/>
        <w:jc w:val="both"/>
        <w:rPr>
          <w:rFonts w:ascii="Times New Roman" w:eastAsia="Times New Roman" w:hAnsi="Times New Roman"/>
          <w:sz w:val="20"/>
          <w:szCs w:val="20"/>
          <w:lang w:eastAsia="hr-HR"/>
        </w:rPr>
      </w:pPr>
    </w:p>
    <w:p w14:paraId="7D3306D1" w14:textId="77777777" w:rsidR="00990D4C" w:rsidRPr="00235530" w:rsidRDefault="00990D4C" w:rsidP="00BF5999">
      <w:pPr>
        <w:spacing w:after="0" w:line="240" w:lineRule="auto"/>
        <w:jc w:val="both"/>
        <w:rPr>
          <w:rFonts w:ascii="Times New Roman" w:eastAsia="Times New Roman" w:hAnsi="Times New Roman"/>
          <w:lang w:eastAsia="hr-HR"/>
        </w:rPr>
      </w:pPr>
    </w:p>
    <w:p w14:paraId="7D3306D2" w14:textId="77777777" w:rsidR="00BF5999" w:rsidRPr="00235530" w:rsidRDefault="00BF5999" w:rsidP="0003213C">
      <w:pPr>
        <w:spacing w:after="0" w:line="240" w:lineRule="auto"/>
        <w:jc w:val="both"/>
        <w:rPr>
          <w:rFonts w:ascii="Times New Roman" w:hAnsi="Times New Roman"/>
        </w:rPr>
      </w:pPr>
    </w:p>
    <w:p w14:paraId="7D3306D3" w14:textId="77777777" w:rsidR="00BF5999" w:rsidRPr="00235530" w:rsidRDefault="00BF5999" w:rsidP="0003213C">
      <w:pPr>
        <w:spacing w:after="0" w:line="240" w:lineRule="auto"/>
        <w:jc w:val="both"/>
        <w:rPr>
          <w:rFonts w:ascii="Times New Roman" w:hAnsi="Times New Roman"/>
        </w:rPr>
      </w:pPr>
    </w:p>
    <w:sectPr w:rsidR="00BF5999" w:rsidRPr="00235530" w:rsidSect="006409A4">
      <w:headerReference w:type="default" r:id="rId22"/>
      <w:footerReference w:type="even" r:id="rId23"/>
      <w:footerReference w:type="default" r:id="rId24"/>
      <w:pgSz w:w="11906" w:h="16838"/>
      <w:pgMar w:top="1418" w:right="1418" w:bottom="1134"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306F2" w14:textId="77777777" w:rsidR="00E068E7" w:rsidRDefault="00E068E7" w:rsidP="00995044">
      <w:pPr>
        <w:spacing w:after="0" w:line="240" w:lineRule="auto"/>
      </w:pPr>
      <w:r>
        <w:separator/>
      </w:r>
    </w:p>
  </w:endnote>
  <w:endnote w:type="continuationSeparator" w:id="0">
    <w:p w14:paraId="7D3306F3" w14:textId="77777777" w:rsidR="00E068E7" w:rsidRDefault="00E068E7" w:rsidP="0099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06F6" w14:textId="77777777" w:rsidR="00E068E7" w:rsidRDefault="00E068E7" w:rsidP="00995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306F7" w14:textId="77777777" w:rsidR="00E068E7" w:rsidRDefault="00E068E7" w:rsidP="0099504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06F8" w14:textId="5D8A7759" w:rsidR="00E068E7" w:rsidRPr="008A3913" w:rsidRDefault="00E068E7" w:rsidP="005A1B00">
    <w:pPr>
      <w:pStyle w:val="Footer"/>
      <w:ind w:right="360"/>
      <w:jc w:val="right"/>
      <w:rPr>
        <w:sz w:val="16"/>
        <w:szCs w:val="16"/>
      </w:rPr>
    </w:pPr>
    <w:r w:rsidRPr="008A3913">
      <w:rPr>
        <w:rStyle w:val="PageNumber"/>
        <w:sz w:val="16"/>
        <w:szCs w:val="16"/>
      </w:rPr>
      <w:fldChar w:fldCharType="begin"/>
    </w:r>
    <w:r w:rsidRPr="008A3913">
      <w:rPr>
        <w:rStyle w:val="PageNumber"/>
        <w:sz w:val="16"/>
        <w:szCs w:val="16"/>
      </w:rPr>
      <w:instrText xml:space="preserve"> PAGE </w:instrText>
    </w:r>
    <w:r w:rsidRPr="008A3913">
      <w:rPr>
        <w:rStyle w:val="PageNumber"/>
        <w:sz w:val="16"/>
        <w:szCs w:val="16"/>
      </w:rPr>
      <w:fldChar w:fldCharType="separate"/>
    </w:r>
    <w:r w:rsidR="00140881">
      <w:rPr>
        <w:rStyle w:val="PageNumber"/>
        <w:noProof/>
        <w:sz w:val="16"/>
        <w:szCs w:val="16"/>
      </w:rPr>
      <w:t>29</w:t>
    </w:r>
    <w:r w:rsidRPr="008A3913">
      <w:rPr>
        <w:rStyle w:val="PageNumber"/>
        <w:sz w:val="16"/>
        <w:szCs w:val="16"/>
      </w:rPr>
      <w:fldChar w:fldCharType="end"/>
    </w:r>
  </w:p>
  <w:p w14:paraId="7D3306F9" w14:textId="77777777" w:rsidR="00E068E7" w:rsidRDefault="00E068E7" w:rsidP="0099504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06F0" w14:textId="77777777" w:rsidR="00E068E7" w:rsidRDefault="00E068E7" w:rsidP="00995044">
      <w:pPr>
        <w:spacing w:after="0" w:line="240" w:lineRule="auto"/>
      </w:pPr>
      <w:r>
        <w:separator/>
      </w:r>
    </w:p>
  </w:footnote>
  <w:footnote w:type="continuationSeparator" w:id="0">
    <w:p w14:paraId="7D3306F1" w14:textId="77777777" w:rsidR="00E068E7" w:rsidRDefault="00E068E7" w:rsidP="00995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06F4" w14:textId="77777777" w:rsidR="00E068E7" w:rsidRPr="00235530" w:rsidRDefault="00E068E7" w:rsidP="00446110">
    <w:pPr>
      <w:pStyle w:val="Header"/>
      <w:pBdr>
        <w:bottom w:val="single" w:sz="4" w:space="1" w:color="auto"/>
      </w:pBdr>
      <w:rPr>
        <w:rFonts w:ascii="Times New Roman" w:hAnsi="Times New Roman"/>
        <w:color w:val="999999"/>
        <w:sz w:val="18"/>
        <w:szCs w:val="18"/>
      </w:rPr>
    </w:pPr>
    <w:r w:rsidRPr="00235530">
      <w:rPr>
        <w:rFonts w:ascii="Times New Roman" w:hAnsi="Times New Roman"/>
        <w:color w:val="999999"/>
        <w:sz w:val="18"/>
        <w:szCs w:val="18"/>
      </w:rPr>
      <w:t xml:space="preserve">IZVJEŠĆE O PROVEDENOJ POLITICI KONCESIJA </w:t>
    </w:r>
  </w:p>
  <w:p w14:paraId="7D3306F5" w14:textId="77777777" w:rsidR="00E068E7" w:rsidRDefault="00E068E7" w:rsidP="0038100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E19"/>
    <w:multiLevelType w:val="hybridMultilevel"/>
    <w:tmpl w:val="1AACA886"/>
    <w:lvl w:ilvl="0" w:tplc="D7382F68">
      <w:start w:val="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42901"/>
    <w:multiLevelType w:val="hybridMultilevel"/>
    <w:tmpl w:val="681A15C2"/>
    <w:lvl w:ilvl="0" w:tplc="F0D2392A">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11755C8F"/>
    <w:multiLevelType w:val="hybridMultilevel"/>
    <w:tmpl w:val="0860CBB0"/>
    <w:lvl w:ilvl="0" w:tplc="0F188750">
      <w:start w:val="4"/>
      <w:numFmt w:val="bullet"/>
      <w:lvlText w:val="-"/>
      <w:lvlJc w:val="left"/>
      <w:pPr>
        <w:tabs>
          <w:tab w:val="num" w:pos="720"/>
        </w:tabs>
        <w:ind w:left="720" w:hanging="360"/>
      </w:pPr>
      <w:rPr>
        <w:rFonts w:ascii="Calibri" w:eastAsia="Times New Roman" w:hAnsi="Calibri" w:hint="default"/>
      </w:rPr>
    </w:lvl>
    <w:lvl w:ilvl="1" w:tplc="041A000F">
      <w:start w:val="1"/>
      <w:numFmt w:val="decimal"/>
      <w:lvlText w:val="%2."/>
      <w:lvlJc w:val="left"/>
      <w:pPr>
        <w:tabs>
          <w:tab w:val="num" w:pos="1440"/>
        </w:tabs>
        <w:ind w:left="1440" w:hanging="360"/>
      </w:pPr>
      <w:rPr>
        <w:rFonts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F55D2"/>
    <w:multiLevelType w:val="hybridMultilevel"/>
    <w:tmpl w:val="3552EF06"/>
    <w:lvl w:ilvl="0" w:tplc="0122B2FE">
      <w:numFmt w:val="bullet"/>
      <w:lvlText w:val="-"/>
      <w:lvlJc w:val="left"/>
      <w:pPr>
        <w:ind w:left="1065" w:hanging="360"/>
      </w:pPr>
      <w:rPr>
        <w:rFonts w:ascii="Arial Narrow" w:eastAsia="Times New Roman" w:hAnsi="Arial Narrow"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31AA7EBC"/>
    <w:multiLevelType w:val="multilevel"/>
    <w:tmpl w:val="9E50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7B7561A"/>
    <w:multiLevelType w:val="hybridMultilevel"/>
    <w:tmpl w:val="F5569C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5B0E1E"/>
    <w:multiLevelType w:val="hybridMultilevel"/>
    <w:tmpl w:val="A44C63D2"/>
    <w:lvl w:ilvl="0" w:tplc="EA84506C">
      <w:start w:val="2"/>
      <w:numFmt w:val="bullet"/>
      <w:lvlText w:val="-"/>
      <w:lvlJc w:val="left"/>
      <w:pPr>
        <w:ind w:left="720" w:hanging="360"/>
      </w:pPr>
      <w:rPr>
        <w:rFonts w:ascii="Calibri" w:eastAsia="MS Mincho" w:hAnsi="Calibr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44"/>
    <w:rsid w:val="000027C1"/>
    <w:rsid w:val="000037AE"/>
    <w:rsid w:val="00007264"/>
    <w:rsid w:val="00007983"/>
    <w:rsid w:val="00014C6B"/>
    <w:rsid w:val="000155D2"/>
    <w:rsid w:val="00017C4A"/>
    <w:rsid w:val="00021020"/>
    <w:rsid w:val="00021BF8"/>
    <w:rsid w:val="00021C32"/>
    <w:rsid w:val="000245B9"/>
    <w:rsid w:val="00025DFD"/>
    <w:rsid w:val="00026E1F"/>
    <w:rsid w:val="00026EFC"/>
    <w:rsid w:val="0002746D"/>
    <w:rsid w:val="0003172A"/>
    <w:rsid w:val="0003213C"/>
    <w:rsid w:val="00033C72"/>
    <w:rsid w:val="00033F22"/>
    <w:rsid w:val="00034788"/>
    <w:rsid w:val="0004117D"/>
    <w:rsid w:val="000419D3"/>
    <w:rsid w:val="00041CB4"/>
    <w:rsid w:val="00042176"/>
    <w:rsid w:val="00045072"/>
    <w:rsid w:val="00045C9B"/>
    <w:rsid w:val="0005049B"/>
    <w:rsid w:val="0005076D"/>
    <w:rsid w:val="00051219"/>
    <w:rsid w:val="000526E6"/>
    <w:rsid w:val="00054A34"/>
    <w:rsid w:val="000619E1"/>
    <w:rsid w:val="000625E3"/>
    <w:rsid w:val="00062682"/>
    <w:rsid w:val="0006319E"/>
    <w:rsid w:val="00064E89"/>
    <w:rsid w:val="00065986"/>
    <w:rsid w:val="00067686"/>
    <w:rsid w:val="00067C33"/>
    <w:rsid w:val="00070092"/>
    <w:rsid w:val="0007088C"/>
    <w:rsid w:val="00071B3A"/>
    <w:rsid w:val="00076C60"/>
    <w:rsid w:val="00080A3C"/>
    <w:rsid w:val="000810DB"/>
    <w:rsid w:val="00081CD0"/>
    <w:rsid w:val="00082B1F"/>
    <w:rsid w:val="00082C53"/>
    <w:rsid w:val="00086260"/>
    <w:rsid w:val="00086AC9"/>
    <w:rsid w:val="00091824"/>
    <w:rsid w:val="000950FF"/>
    <w:rsid w:val="000964AB"/>
    <w:rsid w:val="000A061D"/>
    <w:rsid w:val="000A0D76"/>
    <w:rsid w:val="000A21E2"/>
    <w:rsid w:val="000A24B9"/>
    <w:rsid w:val="000A2D95"/>
    <w:rsid w:val="000A428C"/>
    <w:rsid w:val="000A5334"/>
    <w:rsid w:val="000A5DB9"/>
    <w:rsid w:val="000A6636"/>
    <w:rsid w:val="000A68DD"/>
    <w:rsid w:val="000B140B"/>
    <w:rsid w:val="000B17B7"/>
    <w:rsid w:val="000B347B"/>
    <w:rsid w:val="000B57D9"/>
    <w:rsid w:val="000B5836"/>
    <w:rsid w:val="000B5CAA"/>
    <w:rsid w:val="000B692A"/>
    <w:rsid w:val="000B71D2"/>
    <w:rsid w:val="000C140A"/>
    <w:rsid w:val="000C49CC"/>
    <w:rsid w:val="000C6FED"/>
    <w:rsid w:val="000C750D"/>
    <w:rsid w:val="000D2BCF"/>
    <w:rsid w:val="000D2F7F"/>
    <w:rsid w:val="000D33C5"/>
    <w:rsid w:val="000D747F"/>
    <w:rsid w:val="000D7ADD"/>
    <w:rsid w:val="000E3221"/>
    <w:rsid w:val="000E58DF"/>
    <w:rsid w:val="000F0A85"/>
    <w:rsid w:val="000F2CB8"/>
    <w:rsid w:val="000F3177"/>
    <w:rsid w:val="000F3FA9"/>
    <w:rsid w:val="000F6DDF"/>
    <w:rsid w:val="000F7388"/>
    <w:rsid w:val="001015CD"/>
    <w:rsid w:val="001026EA"/>
    <w:rsid w:val="00104637"/>
    <w:rsid w:val="00107621"/>
    <w:rsid w:val="00111340"/>
    <w:rsid w:val="001128CA"/>
    <w:rsid w:val="00112E4D"/>
    <w:rsid w:val="0011417B"/>
    <w:rsid w:val="00114A9F"/>
    <w:rsid w:val="00115A0E"/>
    <w:rsid w:val="00116466"/>
    <w:rsid w:val="00116AF5"/>
    <w:rsid w:val="00116DC8"/>
    <w:rsid w:val="00116FBA"/>
    <w:rsid w:val="00121DDC"/>
    <w:rsid w:val="0012293E"/>
    <w:rsid w:val="00122A69"/>
    <w:rsid w:val="001233CF"/>
    <w:rsid w:val="00123DA3"/>
    <w:rsid w:val="00124E99"/>
    <w:rsid w:val="00126892"/>
    <w:rsid w:val="00126C1F"/>
    <w:rsid w:val="00127143"/>
    <w:rsid w:val="001313F2"/>
    <w:rsid w:val="0013198D"/>
    <w:rsid w:val="00131A08"/>
    <w:rsid w:val="0013334A"/>
    <w:rsid w:val="0013380D"/>
    <w:rsid w:val="00134BD9"/>
    <w:rsid w:val="00135D21"/>
    <w:rsid w:val="001369B7"/>
    <w:rsid w:val="00136A6F"/>
    <w:rsid w:val="00137DFD"/>
    <w:rsid w:val="00140881"/>
    <w:rsid w:val="0014285E"/>
    <w:rsid w:val="001506AF"/>
    <w:rsid w:val="0015070B"/>
    <w:rsid w:val="001542C0"/>
    <w:rsid w:val="00154C26"/>
    <w:rsid w:val="0015562C"/>
    <w:rsid w:val="00156B9D"/>
    <w:rsid w:val="00156D52"/>
    <w:rsid w:val="00156D82"/>
    <w:rsid w:val="0016170B"/>
    <w:rsid w:val="0016271E"/>
    <w:rsid w:val="00162DF3"/>
    <w:rsid w:val="0016479F"/>
    <w:rsid w:val="00165C16"/>
    <w:rsid w:val="00165FCE"/>
    <w:rsid w:val="001673F1"/>
    <w:rsid w:val="001675E4"/>
    <w:rsid w:val="00171727"/>
    <w:rsid w:val="00174C40"/>
    <w:rsid w:val="0017767F"/>
    <w:rsid w:val="001810B8"/>
    <w:rsid w:val="00185619"/>
    <w:rsid w:val="00190137"/>
    <w:rsid w:val="00193468"/>
    <w:rsid w:val="0019460F"/>
    <w:rsid w:val="001A0607"/>
    <w:rsid w:val="001A22A6"/>
    <w:rsid w:val="001A5347"/>
    <w:rsid w:val="001A62B5"/>
    <w:rsid w:val="001A6A2E"/>
    <w:rsid w:val="001A785D"/>
    <w:rsid w:val="001B1657"/>
    <w:rsid w:val="001B36CD"/>
    <w:rsid w:val="001B686E"/>
    <w:rsid w:val="001C2CAB"/>
    <w:rsid w:val="001C6D87"/>
    <w:rsid w:val="001C755F"/>
    <w:rsid w:val="001C7FB1"/>
    <w:rsid w:val="001D39AF"/>
    <w:rsid w:val="001D4759"/>
    <w:rsid w:val="001D48C8"/>
    <w:rsid w:val="001D5051"/>
    <w:rsid w:val="001E1665"/>
    <w:rsid w:val="001E1E37"/>
    <w:rsid w:val="001E3351"/>
    <w:rsid w:val="001E3C43"/>
    <w:rsid w:val="001E4E28"/>
    <w:rsid w:val="001E5217"/>
    <w:rsid w:val="001E5882"/>
    <w:rsid w:val="001E5EF5"/>
    <w:rsid w:val="001E6B1B"/>
    <w:rsid w:val="001E779E"/>
    <w:rsid w:val="001E7F11"/>
    <w:rsid w:val="001F1234"/>
    <w:rsid w:val="001F1F16"/>
    <w:rsid w:val="001F2C20"/>
    <w:rsid w:val="001F3AA8"/>
    <w:rsid w:val="001F5E53"/>
    <w:rsid w:val="001F6282"/>
    <w:rsid w:val="00204C9B"/>
    <w:rsid w:val="00204DC1"/>
    <w:rsid w:val="00204EDE"/>
    <w:rsid w:val="00205D26"/>
    <w:rsid w:val="00205FB5"/>
    <w:rsid w:val="00206D75"/>
    <w:rsid w:val="00206E18"/>
    <w:rsid w:val="00206E40"/>
    <w:rsid w:val="00212DD6"/>
    <w:rsid w:val="002131C2"/>
    <w:rsid w:val="002135F7"/>
    <w:rsid w:val="002158E2"/>
    <w:rsid w:val="00221948"/>
    <w:rsid w:val="00221AB9"/>
    <w:rsid w:val="00224942"/>
    <w:rsid w:val="0022747A"/>
    <w:rsid w:val="00227F4B"/>
    <w:rsid w:val="002325CA"/>
    <w:rsid w:val="00235530"/>
    <w:rsid w:val="00242862"/>
    <w:rsid w:val="00245172"/>
    <w:rsid w:val="002452B0"/>
    <w:rsid w:val="002522BB"/>
    <w:rsid w:val="00253440"/>
    <w:rsid w:val="00256FD7"/>
    <w:rsid w:val="002570BD"/>
    <w:rsid w:val="00260E58"/>
    <w:rsid w:val="00261108"/>
    <w:rsid w:val="002640DE"/>
    <w:rsid w:val="0027483E"/>
    <w:rsid w:val="002814E3"/>
    <w:rsid w:val="00281CCA"/>
    <w:rsid w:val="00281DE4"/>
    <w:rsid w:val="00282961"/>
    <w:rsid w:val="00283A44"/>
    <w:rsid w:val="00284385"/>
    <w:rsid w:val="00285FD2"/>
    <w:rsid w:val="00286BC4"/>
    <w:rsid w:val="0028780C"/>
    <w:rsid w:val="002902AF"/>
    <w:rsid w:val="002907B3"/>
    <w:rsid w:val="00290DC7"/>
    <w:rsid w:val="00290FC7"/>
    <w:rsid w:val="0029117B"/>
    <w:rsid w:val="00292D13"/>
    <w:rsid w:val="00295773"/>
    <w:rsid w:val="0029685F"/>
    <w:rsid w:val="002A099D"/>
    <w:rsid w:val="002A162B"/>
    <w:rsid w:val="002A2215"/>
    <w:rsid w:val="002A42DD"/>
    <w:rsid w:val="002A4F10"/>
    <w:rsid w:val="002A5DF2"/>
    <w:rsid w:val="002A6723"/>
    <w:rsid w:val="002A7144"/>
    <w:rsid w:val="002A7447"/>
    <w:rsid w:val="002A7B8F"/>
    <w:rsid w:val="002A7C34"/>
    <w:rsid w:val="002B11AE"/>
    <w:rsid w:val="002B1EC9"/>
    <w:rsid w:val="002B20DD"/>
    <w:rsid w:val="002B2631"/>
    <w:rsid w:val="002B26D3"/>
    <w:rsid w:val="002B41CE"/>
    <w:rsid w:val="002B5D82"/>
    <w:rsid w:val="002B7224"/>
    <w:rsid w:val="002B76ED"/>
    <w:rsid w:val="002B793D"/>
    <w:rsid w:val="002B7A62"/>
    <w:rsid w:val="002C0446"/>
    <w:rsid w:val="002C4000"/>
    <w:rsid w:val="002C57B1"/>
    <w:rsid w:val="002C5A72"/>
    <w:rsid w:val="002C5CC1"/>
    <w:rsid w:val="002C6A23"/>
    <w:rsid w:val="002C6E77"/>
    <w:rsid w:val="002C7856"/>
    <w:rsid w:val="002C7DBB"/>
    <w:rsid w:val="002D07CD"/>
    <w:rsid w:val="002D184F"/>
    <w:rsid w:val="002D1C08"/>
    <w:rsid w:val="002D2536"/>
    <w:rsid w:val="002D328E"/>
    <w:rsid w:val="002D363E"/>
    <w:rsid w:val="002E0510"/>
    <w:rsid w:val="002E2771"/>
    <w:rsid w:val="002E2924"/>
    <w:rsid w:val="002E3035"/>
    <w:rsid w:val="002E33D4"/>
    <w:rsid w:val="002E5735"/>
    <w:rsid w:val="002E5EAE"/>
    <w:rsid w:val="002E7ED4"/>
    <w:rsid w:val="002F4E62"/>
    <w:rsid w:val="002F7D27"/>
    <w:rsid w:val="00301844"/>
    <w:rsid w:val="00301B15"/>
    <w:rsid w:val="00301FB9"/>
    <w:rsid w:val="00302F29"/>
    <w:rsid w:val="00303CD2"/>
    <w:rsid w:val="00304CC7"/>
    <w:rsid w:val="0030627B"/>
    <w:rsid w:val="00307002"/>
    <w:rsid w:val="00310078"/>
    <w:rsid w:val="00310679"/>
    <w:rsid w:val="00310884"/>
    <w:rsid w:val="00312FF3"/>
    <w:rsid w:val="00314C07"/>
    <w:rsid w:val="00314F83"/>
    <w:rsid w:val="00315112"/>
    <w:rsid w:val="00316C81"/>
    <w:rsid w:val="00322A08"/>
    <w:rsid w:val="00322F0E"/>
    <w:rsid w:val="00323F25"/>
    <w:rsid w:val="00324C28"/>
    <w:rsid w:val="00325128"/>
    <w:rsid w:val="00326F51"/>
    <w:rsid w:val="0032769C"/>
    <w:rsid w:val="00330A40"/>
    <w:rsid w:val="003326DE"/>
    <w:rsid w:val="00332C42"/>
    <w:rsid w:val="00334B0C"/>
    <w:rsid w:val="00335990"/>
    <w:rsid w:val="00335AE2"/>
    <w:rsid w:val="00337604"/>
    <w:rsid w:val="003450C5"/>
    <w:rsid w:val="00345293"/>
    <w:rsid w:val="00345520"/>
    <w:rsid w:val="00347917"/>
    <w:rsid w:val="00351BC1"/>
    <w:rsid w:val="00357135"/>
    <w:rsid w:val="00357298"/>
    <w:rsid w:val="00360894"/>
    <w:rsid w:val="00360E59"/>
    <w:rsid w:val="003629A9"/>
    <w:rsid w:val="003635D0"/>
    <w:rsid w:val="0036404F"/>
    <w:rsid w:val="003640AA"/>
    <w:rsid w:val="003640DF"/>
    <w:rsid w:val="003641B5"/>
    <w:rsid w:val="00370BC0"/>
    <w:rsid w:val="0037172A"/>
    <w:rsid w:val="00372ACB"/>
    <w:rsid w:val="003740A8"/>
    <w:rsid w:val="00375404"/>
    <w:rsid w:val="00375607"/>
    <w:rsid w:val="00375929"/>
    <w:rsid w:val="00375A39"/>
    <w:rsid w:val="00375C3D"/>
    <w:rsid w:val="00376A63"/>
    <w:rsid w:val="0038100F"/>
    <w:rsid w:val="00381593"/>
    <w:rsid w:val="00384786"/>
    <w:rsid w:val="003852DD"/>
    <w:rsid w:val="003855F4"/>
    <w:rsid w:val="00386D35"/>
    <w:rsid w:val="00386F38"/>
    <w:rsid w:val="003914E5"/>
    <w:rsid w:val="00392A64"/>
    <w:rsid w:val="003A15F5"/>
    <w:rsid w:val="003A4257"/>
    <w:rsid w:val="003A4DBC"/>
    <w:rsid w:val="003B31FB"/>
    <w:rsid w:val="003B39EA"/>
    <w:rsid w:val="003B4BCA"/>
    <w:rsid w:val="003B617D"/>
    <w:rsid w:val="003B6EE0"/>
    <w:rsid w:val="003C059A"/>
    <w:rsid w:val="003C07EB"/>
    <w:rsid w:val="003C2951"/>
    <w:rsid w:val="003C2F26"/>
    <w:rsid w:val="003C353F"/>
    <w:rsid w:val="003C362C"/>
    <w:rsid w:val="003C396B"/>
    <w:rsid w:val="003C469F"/>
    <w:rsid w:val="003C4D36"/>
    <w:rsid w:val="003C4E90"/>
    <w:rsid w:val="003C7249"/>
    <w:rsid w:val="003D082A"/>
    <w:rsid w:val="003D20BB"/>
    <w:rsid w:val="003D3668"/>
    <w:rsid w:val="003D5597"/>
    <w:rsid w:val="003D5CB4"/>
    <w:rsid w:val="003D6A98"/>
    <w:rsid w:val="003D7574"/>
    <w:rsid w:val="003D7EF0"/>
    <w:rsid w:val="003E2585"/>
    <w:rsid w:val="003E32D8"/>
    <w:rsid w:val="003E39E9"/>
    <w:rsid w:val="003E5488"/>
    <w:rsid w:val="003E678C"/>
    <w:rsid w:val="003E790B"/>
    <w:rsid w:val="003F204F"/>
    <w:rsid w:val="003F220F"/>
    <w:rsid w:val="003F2831"/>
    <w:rsid w:val="003F2DC1"/>
    <w:rsid w:val="003F542A"/>
    <w:rsid w:val="003F680B"/>
    <w:rsid w:val="003F795B"/>
    <w:rsid w:val="0040127D"/>
    <w:rsid w:val="00401B42"/>
    <w:rsid w:val="0040333E"/>
    <w:rsid w:val="00404220"/>
    <w:rsid w:val="00406458"/>
    <w:rsid w:val="0041074B"/>
    <w:rsid w:val="00410B30"/>
    <w:rsid w:val="004118AC"/>
    <w:rsid w:val="00411A04"/>
    <w:rsid w:val="004131EE"/>
    <w:rsid w:val="004159D0"/>
    <w:rsid w:val="00416201"/>
    <w:rsid w:val="00416977"/>
    <w:rsid w:val="00416CD4"/>
    <w:rsid w:val="00416D55"/>
    <w:rsid w:val="004173B8"/>
    <w:rsid w:val="0041784C"/>
    <w:rsid w:val="00421ECD"/>
    <w:rsid w:val="00424719"/>
    <w:rsid w:val="004252E0"/>
    <w:rsid w:val="00425DBA"/>
    <w:rsid w:val="00427344"/>
    <w:rsid w:val="00430AEE"/>
    <w:rsid w:val="0043190B"/>
    <w:rsid w:val="00435B6D"/>
    <w:rsid w:val="004415F1"/>
    <w:rsid w:val="00441CD5"/>
    <w:rsid w:val="0044461C"/>
    <w:rsid w:val="00445B02"/>
    <w:rsid w:val="00446110"/>
    <w:rsid w:val="00450FA3"/>
    <w:rsid w:val="00451D29"/>
    <w:rsid w:val="00454753"/>
    <w:rsid w:val="00455146"/>
    <w:rsid w:val="00455529"/>
    <w:rsid w:val="00456CA0"/>
    <w:rsid w:val="00460794"/>
    <w:rsid w:val="00461877"/>
    <w:rsid w:val="004620DE"/>
    <w:rsid w:val="00464E6B"/>
    <w:rsid w:val="00467029"/>
    <w:rsid w:val="00472057"/>
    <w:rsid w:val="00472754"/>
    <w:rsid w:val="00476865"/>
    <w:rsid w:val="00476966"/>
    <w:rsid w:val="00477A3E"/>
    <w:rsid w:val="00480EBC"/>
    <w:rsid w:val="00482002"/>
    <w:rsid w:val="0048201A"/>
    <w:rsid w:val="0048358C"/>
    <w:rsid w:val="0049112B"/>
    <w:rsid w:val="004911C4"/>
    <w:rsid w:val="00491CFF"/>
    <w:rsid w:val="00494A20"/>
    <w:rsid w:val="004A1C38"/>
    <w:rsid w:val="004A3A7E"/>
    <w:rsid w:val="004A3E29"/>
    <w:rsid w:val="004A3EE5"/>
    <w:rsid w:val="004A4DDA"/>
    <w:rsid w:val="004A64FD"/>
    <w:rsid w:val="004B3479"/>
    <w:rsid w:val="004B5ED5"/>
    <w:rsid w:val="004B7722"/>
    <w:rsid w:val="004B7FD4"/>
    <w:rsid w:val="004C0873"/>
    <w:rsid w:val="004C4A01"/>
    <w:rsid w:val="004C5AAC"/>
    <w:rsid w:val="004C6F80"/>
    <w:rsid w:val="004C744B"/>
    <w:rsid w:val="004C7FEF"/>
    <w:rsid w:val="004D0258"/>
    <w:rsid w:val="004D1627"/>
    <w:rsid w:val="004D3C11"/>
    <w:rsid w:val="004D485A"/>
    <w:rsid w:val="004D553E"/>
    <w:rsid w:val="004D5710"/>
    <w:rsid w:val="004D59C4"/>
    <w:rsid w:val="004D5B1D"/>
    <w:rsid w:val="004E1C7E"/>
    <w:rsid w:val="004E22D6"/>
    <w:rsid w:val="004E2606"/>
    <w:rsid w:val="004E387E"/>
    <w:rsid w:val="004E4DDC"/>
    <w:rsid w:val="004E64B9"/>
    <w:rsid w:val="004F118F"/>
    <w:rsid w:val="004F2FB8"/>
    <w:rsid w:val="004F5B9D"/>
    <w:rsid w:val="004F6447"/>
    <w:rsid w:val="004F7400"/>
    <w:rsid w:val="004F7AB9"/>
    <w:rsid w:val="00500377"/>
    <w:rsid w:val="0050236A"/>
    <w:rsid w:val="00511337"/>
    <w:rsid w:val="00511C64"/>
    <w:rsid w:val="0051375E"/>
    <w:rsid w:val="005148B5"/>
    <w:rsid w:val="0051679C"/>
    <w:rsid w:val="00516DD7"/>
    <w:rsid w:val="0052141B"/>
    <w:rsid w:val="005236F6"/>
    <w:rsid w:val="00523831"/>
    <w:rsid w:val="00530C9A"/>
    <w:rsid w:val="00535BED"/>
    <w:rsid w:val="00536104"/>
    <w:rsid w:val="00537070"/>
    <w:rsid w:val="00541149"/>
    <w:rsid w:val="00542F2A"/>
    <w:rsid w:val="00543499"/>
    <w:rsid w:val="00544DA8"/>
    <w:rsid w:val="005450A5"/>
    <w:rsid w:val="0054516A"/>
    <w:rsid w:val="00550786"/>
    <w:rsid w:val="005549FC"/>
    <w:rsid w:val="0056124F"/>
    <w:rsid w:val="005614BB"/>
    <w:rsid w:val="005618B8"/>
    <w:rsid w:val="00562078"/>
    <w:rsid w:val="005623DE"/>
    <w:rsid w:val="00562F4C"/>
    <w:rsid w:val="00563BCF"/>
    <w:rsid w:val="00563D33"/>
    <w:rsid w:val="0056534A"/>
    <w:rsid w:val="0056564E"/>
    <w:rsid w:val="00567427"/>
    <w:rsid w:val="00567DC0"/>
    <w:rsid w:val="00570B67"/>
    <w:rsid w:val="0057120A"/>
    <w:rsid w:val="0057148C"/>
    <w:rsid w:val="005730AC"/>
    <w:rsid w:val="0057587A"/>
    <w:rsid w:val="00575C1A"/>
    <w:rsid w:val="0058213E"/>
    <w:rsid w:val="00583D5A"/>
    <w:rsid w:val="00584C05"/>
    <w:rsid w:val="00585908"/>
    <w:rsid w:val="005904F8"/>
    <w:rsid w:val="0059196A"/>
    <w:rsid w:val="00592104"/>
    <w:rsid w:val="00593784"/>
    <w:rsid w:val="00594C0F"/>
    <w:rsid w:val="0059660B"/>
    <w:rsid w:val="00597687"/>
    <w:rsid w:val="005A123E"/>
    <w:rsid w:val="005A13FB"/>
    <w:rsid w:val="005A1B00"/>
    <w:rsid w:val="005A4F0A"/>
    <w:rsid w:val="005A5E66"/>
    <w:rsid w:val="005A612D"/>
    <w:rsid w:val="005A6ADE"/>
    <w:rsid w:val="005B090C"/>
    <w:rsid w:val="005B142A"/>
    <w:rsid w:val="005B2A90"/>
    <w:rsid w:val="005B41A5"/>
    <w:rsid w:val="005B41F3"/>
    <w:rsid w:val="005B4517"/>
    <w:rsid w:val="005B5103"/>
    <w:rsid w:val="005B6EFF"/>
    <w:rsid w:val="005B7A3C"/>
    <w:rsid w:val="005C3241"/>
    <w:rsid w:val="005C3716"/>
    <w:rsid w:val="005C4B03"/>
    <w:rsid w:val="005C5264"/>
    <w:rsid w:val="005C666F"/>
    <w:rsid w:val="005C7062"/>
    <w:rsid w:val="005C739B"/>
    <w:rsid w:val="005D4AFA"/>
    <w:rsid w:val="005D574E"/>
    <w:rsid w:val="005D6F71"/>
    <w:rsid w:val="005E26AC"/>
    <w:rsid w:val="005E2CD6"/>
    <w:rsid w:val="005E352A"/>
    <w:rsid w:val="005E3CF4"/>
    <w:rsid w:val="005E521E"/>
    <w:rsid w:val="005E5459"/>
    <w:rsid w:val="005E6B8D"/>
    <w:rsid w:val="005F0D88"/>
    <w:rsid w:val="005F191E"/>
    <w:rsid w:val="005F2148"/>
    <w:rsid w:val="005F2490"/>
    <w:rsid w:val="005F3F98"/>
    <w:rsid w:val="005F549E"/>
    <w:rsid w:val="005F6B57"/>
    <w:rsid w:val="0060012C"/>
    <w:rsid w:val="00601414"/>
    <w:rsid w:val="0060156A"/>
    <w:rsid w:val="0060736D"/>
    <w:rsid w:val="00610FF8"/>
    <w:rsid w:val="00611614"/>
    <w:rsid w:val="00614A59"/>
    <w:rsid w:val="0061607C"/>
    <w:rsid w:val="006204C9"/>
    <w:rsid w:val="00620E83"/>
    <w:rsid w:val="00627060"/>
    <w:rsid w:val="006271BD"/>
    <w:rsid w:val="00634EAC"/>
    <w:rsid w:val="00635890"/>
    <w:rsid w:val="006404C2"/>
    <w:rsid w:val="00640692"/>
    <w:rsid w:val="0064092B"/>
    <w:rsid w:val="006409A4"/>
    <w:rsid w:val="006426F7"/>
    <w:rsid w:val="00642E0B"/>
    <w:rsid w:val="00644172"/>
    <w:rsid w:val="006441FE"/>
    <w:rsid w:val="006443C6"/>
    <w:rsid w:val="006470B8"/>
    <w:rsid w:val="006501A0"/>
    <w:rsid w:val="006506E1"/>
    <w:rsid w:val="00652F13"/>
    <w:rsid w:val="00653060"/>
    <w:rsid w:val="00655CA5"/>
    <w:rsid w:val="00655E43"/>
    <w:rsid w:val="006566AA"/>
    <w:rsid w:val="00657C79"/>
    <w:rsid w:val="00662DD4"/>
    <w:rsid w:val="00663F17"/>
    <w:rsid w:val="00666220"/>
    <w:rsid w:val="006663A8"/>
    <w:rsid w:val="00666805"/>
    <w:rsid w:val="00667321"/>
    <w:rsid w:val="006725F0"/>
    <w:rsid w:val="00672A5C"/>
    <w:rsid w:val="00674BE0"/>
    <w:rsid w:val="006759BF"/>
    <w:rsid w:val="0067765C"/>
    <w:rsid w:val="00677C27"/>
    <w:rsid w:val="00677D77"/>
    <w:rsid w:val="00682BDE"/>
    <w:rsid w:val="00682E67"/>
    <w:rsid w:val="00683E92"/>
    <w:rsid w:val="0068411E"/>
    <w:rsid w:val="00684249"/>
    <w:rsid w:val="00686130"/>
    <w:rsid w:val="006929B3"/>
    <w:rsid w:val="00693AD0"/>
    <w:rsid w:val="00694FE2"/>
    <w:rsid w:val="00695531"/>
    <w:rsid w:val="00695D39"/>
    <w:rsid w:val="00696508"/>
    <w:rsid w:val="006970F9"/>
    <w:rsid w:val="00697AE3"/>
    <w:rsid w:val="006A01CD"/>
    <w:rsid w:val="006A059E"/>
    <w:rsid w:val="006A143A"/>
    <w:rsid w:val="006A1DF6"/>
    <w:rsid w:val="006A20A7"/>
    <w:rsid w:val="006A3D45"/>
    <w:rsid w:val="006A4504"/>
    <w:rsid w:val="006A4A3E"/>
    <w:rsid w:val="006A59FD"/>
    <w:rsid w:val="006B0295"/>
    <w:rsid w:val="006B207A"/>
    <w:rsid w:val="006C20DA"/>
    <w:rsid w:val="006C2582"/>
    <w:rsid w:val="006C4324"/>
    <w:rsid w:val="006C4A55"/>
    <w:rsid w:val="006C5E19"/>
    <w:rsid w:val="006C5F6A"/>
    <w:rsid w:val="006D5839"/>
    <w:rsid w:val="006E0B31"/>
    <w:rsid w:val="006E0CC9"/>
    <w:rsid w:val="006E0F5B"/>
    <w:rsid w:val="006E1295"/>
    <w:rsid w:val="006E26B5"/>
    <w:rsid w:val="006E40E7"/>
    <w:rsid w:val="006E76F3"/>
    <w:rsid w:val="006F419D"/>
    <w:rsid w:val="006F46FC"/>
    <w:rsid w:val="006F631A"/>
    <w:rsid w:val="006F6F24"/>
    <w:rsid w:val="00704959"/>
    <w:rsid w:val="00705318"/>
    <w:rsid w:val="00711887"/>
    <w:rsid w:val="00712151"/>
    <w:rsid w:val="007121E1"/>
    <w:rsid w:val="00712916"/>
    <w:rsid w:val="00712A50"/>
    <w:rsid w:val="00713164"/>
    <w:rsid w:val="00714D98"/>
    <w:rsid w:val="00717423"/>
    <w:rsid w:val="0071744F"/>
    <w:rsid w:val="00720191"/>
    <w:rsid w:val="00720C4C"/>
    <w:rsid w:val="00721FAD"/>
    <w:rsid w:val="00723C10"/>
    <w:rsid w:val="00726F5D"/>
    <w:rsid w:val="00730369"/>
    <w:rsid w:val="0073150A"/>
    <w:rsid w:val="00731756"/>
    <w:rsid w:val="00732BEC"/>
    <w:rsid w:val="00733510"/>
    <w:rsid w:val="0073501A"/>
    <w:rsid w:val="007350B6"/>
    <w:rsid w:val="007363F3"/>
    <w:rsid w:val="00736D4D"/>
    <w:rsid w:val="00736F21"/>
    <w:rsid w:val="00740137"/>
    <w:rsid w:val="00741242"/>
    <w:rsid w:val="00742005"/>
    <w:rsid w:val="0074340F"/>
    <w:rsid w:val="0074672A"/>
    <w:rsid w:val="00750173"/>
    <w:rsid w:val="007537DE"/>
    <w:rsid w:val="007546B3"/>
    <w:rsid w:val="00754BA6"/>
    <w:rsid w:val="0075773E"/>
    <w:rsid w:val="00760083"/>
    <w:rsid w:val="007601FD"/>
    <w:rsid w:val="0076142E"/>
    <w:rsid w:val="007631CA"/>
    <w:rsid w:val="0076394D"/>
    <w:rsid w:val="00764DB4"/>
    <w:rsid w:val="00764ED4"/>
    <w:rsid w:val="00765978"/>
    <w:rsid w:val="007715A0"/>
    <w:rsid w:val="007716E2"/>
    <w:rsid w:val="007718BF"/>
    <w:rsid w:val="00771BB5"/>
    <w:rsid w:val="007722B9"/>
    <w:rsid w:val="007725E7"/>
    <w:rsid w:val="00772B60"/>
    <w:rsid w:val="00772FA7"/>
    <w:rsid w:val="00774A19"/>
    <w:rsid w:val="00774EDE"/>
    <w:rsid w:val="00776605"/>
    <w:rsid w:val="0078281E"/>
    <w:rsid w:val="00784CDC"/>
    <w:rsid w:val="00784E64"/>
    <w:rsid w:val="007874DE"/>
    <w:rsid w:val="00790666"/>
    <w:rsid w:val="00791453"/>
    <w:rsid w:val="007927A9"/>
    <w:rsid w:val="00793CAE"/>
    <w:rsid w:val="00794972"/>
    <w:rsid w:val="00795DF2"/>
    <w:rsid w:val="007A012B"/>
    <w:rsid w:val="007A094C"/>
    <w:rsid w:val="007A0C27"/>
    <w:rsid w:val="007A56B6"/>
    <w:rsid w:val="007A6279"/>
    <w:rsid w:val="007B095B"/>
    <w:rsid w:val="007B25C2"/>
    <w:rsid w:val="007B4A67"/>
    <w:rsid w:val="007B4C83"/>
    <w:rsid w:val="007C16E6"/>
    <w:rsid w:val="007C2AF7"/>
    <w:rsid w:val="007C4447"/>
    <w:rsid w:val="007C4C3A"/>
    <w:rsid w:val="007C692D"/>
    <w:rsid w:val="007C78CD"/>
    <w:rsid w:val="007C7AC3"/>
    <w:rsid w:val="007D1610"/>
    <w:rsid w:val="007D201D"/>
    <w:rsid w:val="007D20E3"/>
    <w:rsid w:val="007D23E0"/>
    <w:rsid w:val="007D2C62"/>
    <w:rsid w:val="007D5EDE"/>
    <w:rsid w:val="007D6268"/>
    <w:rsid w:val="007E3415"/>
    <w:rsid w:val="007E3BA1"/>
    <w:rsid w:val="007E45B7"/>
    <w:rsid w:val="007E5905"/>
    <w:rsid w:val="007E5AD5"/>
    <w:rsid w:val="007E5DFF"/>
    <w:rsid w:val="007E6A9B"/>
    <w:rsid w:val="007E72E6"/>
    <w:rsid w:val="007E7691"/>
    <w:rsid w:val="007E7E45"/>
    <w:rsid w:val="007F291A"/>
    <w:rsid w:val="007F5746"/>
    <w:rsid w:val="00800404"/>
    <w:rsid w:val="00800C55"/>
    <w:rsid w:val="008015C9"/>
    <w:rsid w:val="00801B54"/>
    <w:rsid w:val="00802053"/>
    <w:rsid w:val="008029A6"/>
    <w:rsid w:val="0080396B"/>
    <w:rsid w:val="00804A7C"/>
    <w:rsid w:val="008075AF"/>
    <w:rsid w:val="00810521"/>
    <w:rsid w:val="008113DD"/>
    <w:rsid w:val="0081210A"/>
    <w:rsid w:val="0081215C"/>
    <w:rsid w:val="00812A04"/>
    <w:rsid w:val="00812DA0"/>
    <w:rsid w:val="00813DB6"/>
    <w:rsid w:val="00813ED4"/>
    <w:rsid w:val="008148C1"/>
    <w:rsid w:val="008200CE"/>
    <w:rsid w:val="00821DF9"/>
    <w:rsid w:val="00824A9C"/>
    <w:rsid w:val="00825D2E"/>
    <w:rsid w:val="008274B3"/>
    <w:rsid w:val="00830B8F"/>
    <w:rsid w:val="00832532"/>
    <w:rsid w:val="00832B87"/>
    <w:rsid w:val="00834065"/>
    <w:rsid w:val="00836D65"/>
    <w:rsid w:val="00842B66"/>
    <w:rsid w:val="008432F8"/>
    <w:rsid w:val="00844F5B"/>
    <w:rsid w:val="00846548"/>
    <w:rsid w:val="00846865"/>
    <w:rsid w:val="0085010F"/>
    <w:rsid w:val="00851883"/>
    <w:rsid w:val="008521EC"/>
    <w:rsid w:val="008531A9"/>
    <w:rsid w:val="00855284"/>
    <w:rsid w:val="00856BC1"/>
    <w:rsid w:val="008574A0"/>
    <w:rsid w:val="008632B4"/>
    <w:rsid w:val="008655F0"/>
    <w:rsid w:val="00866273"/>
    <w:rsid w:val="00866F67"/>
    <w:rsid w:val="00866FCB"/>
    <w:rsid w:val="00867680"/>
    <w:rsid w:val="00871BDA"/>
    <w:rsid w:val="00872486"/>
    <w:rsid w:val="008737C3"/>
    <w:rsid w:val="00873AB6"/>
    <w:rsid w:val="008742F0"/>
    <w:rsid w:val="00874877"/>
    <w:rsid w:val="008749AE"/>
    <w:rsid w:val="00875E8A"/>
    <w:rsid w:val="008764E9"/>
    <w:rsid w:val="00876D71"/>
    <w:rsid w:val="0087761D"/>
    <w:rsid w:val="00877EA7"/>
    <w:rsid w:val="00881B06"/>
    <w:rsid w:val="008832B3"/>
    <w:rsid w:val="00884AC2"/>
    <w:rsid w:val="00884D69"/>
    <w:rsid w:val="00885CAE"/>
    <w:rsid w:val="00886243"/>
    <w:rsid w:val="0089045A"/>
    <w:rsid w:val="00891380"/>
    <w:rsid w:val="008934A7"/>
    <w:rsid w:val="00895D9B"/>
    <w:rsid w:val="00895E94"/>
    <w:rsid w:val="008978A2"/>
    <w:rsid w:val="008A0193"/>
    <w:rsid w:val="008A3913"/>
    <w:rsid w:val="008A4A64"/>
    <w:rsid w:val="008B2E3E"/>
    <w:rsid w:val="008B3EA3"/>
    <w:rsid w:val="008B4958"/>
    <w:rsid w:val="008B58DE"/>
    <w:rsid w:val="008B7034"/>
    <w:rsid w:val="008C0406"/>
    <w:rsid w:val="008C5DF5"/>
    <w:rsid w:val="008C60FB"/>
    <w:rsid w:val="008C6469"/>
    <w:rsid w:val="008C74A9"/>
    <w:rsid w:val="008C7756"/>
    <w:rsid w:val="008C7B19"/>
    <w:rsid w:val="008C7DB2"/>
    <w:rsid w:val="008D1CAA"/>
    <w:rsid w:val="008D210E"/>
    <w:rsid w:val="008D32A7"/>
    <w:rsid w:val="008D38C8"/>
    <w:rsid w:val="008D4765"/>
    <w:rsid w:val="008D49AF"/>
    <w:rsid w:val="008D78CF"/>
    <w:rsid w:val="008E0691"/>
    <w:rsid w:val="008E2306"/>
    <w:rsid w:val="008E266A"/>
    <w:rsid w:val="008E3D10"/>
    <w:rsid w:val="008E5A59"/>
    <w:rsid w:val="008F0EA2"/>
    <w:rsid w:val="008F3EEB"/>
    <w:rsid w:val="008F4DA9"/>
    <w:rsid w:val="0090108A"/>
    <w:rsid w:val="009014FE"/>
    <w:rsid w:val="0090194D"/>
    <w:rsid w:val="009024EF"/>
    <w:rsid w:val="00902DE7"/>
    <w:rsid w:val="00903281"/>
    <w:rsid w:val="00904083"/>
    <w:rsid w:val="0090412D"/>
    <w:rsid w:val="0090448C"/>
    <w:rsid w:val="0090540E"/>
    <w:rsid w:val="00906DA6"/>
    <w:rsid w:val="009110AA"/>
    <w:rsid w:val="00911414"/>
    <w:rsid w:val="009119E5"/>
    <w:rsid w:val="00911E07"/>
    <w:rsid w:val="009124FC"/>
    <w:rsid w:val="0091252B"/>
    <w:rsid w:val="0091486E"/>
    <w:rsid w:val="00915071"/>
    <w:rsid w:val="00915E98"/>
    <w:rsid w:val="00921FE0"/>
    <w:rsid w:val="0092201C"/>
    <w:rsid w:val="009233A3"/>
    <w:rsid w:val="00924A53"/>
    <w:rsid w:val="00924B39"/>
    <w:rsid w:val="00924E35"/>
    <w:rsid w:val="00925D5B"/>
    <w:rsid w:val="00927400"/>
    <w:rsid w:val="0093031D"/>
    <w:rsid w:val="00932AA5"/>
    <w:rsid w:val="0093557F"/>
    <w:rsid w:val="00935F69"/>
    <w:rsid w:val="009366A2"/>
    <w:rsid w:val="009369CB"/>
    <w:rsid w:val="009400F7"/>
    <w:rsid w:val="0094728F"/>
    <w:rsid w:val="00952B3F"/>
    <w:rsid w:val="00953E4E"/>
    <w:rsid w:val="009556BA"/>
    <w:rsid w:val="00955D31"/>
    <w:rsid w:val="00956447"/>
    <w:rsid w:val="00960C46"/>
    <w:rsid w:val="00962A8C"/>
    <w:rsid w:val="00963C24"/>
    <w:rsid w:val="009646A8"/>
    <w:rsid w:val="009658ED"/>
    <w:rsid w:val="00965DF3"/>
    <w:rsid w:val="00966CF3"/>
    <w:rsid w:val="00971818"/>
    <w:rsid w:val="009744AD"/>
    <w:rsid w:val="009805F6"/>
    <w:rsid w:val="00981F0A"/>
    <w:rsid w:val="0098233E"/>
    <w:rsid w:val="00982466"/>
    <w:rsid w:val="009831CE"/>
    <w:rsid w:val="00983CA7"/>
    <w:rsid w:val="009849D1"/>
    <w:rsid w:val="00984EBA"/>
    <w:rsid w:val="00985458"/>
    <w:rsid w:val="0098597C"/>
    <w:rsid w:val="00986BD5"/>
    <w:rsid w:val="00987702"/>
    <w:rsid w:val="00990CB0"/>
    <w:rsid w:val="00990D4C"/>
    <w:rsid w:val="0099152D"/>
    <w:rsid w:val="009927AC"/>
    <w:rsid w:val="00993832"/>
    <w:rsid w:val="00995044"/>
    <w:rsid w:val="009A2456"/>
    <w:rsid w:val="009A24C9"/>
    <w:rsid w:val="009A37D2"/>
    <w:rsid w:val="009A400C"/>
    <w:rsid w:val="009A5F92"/>
    <w:rsid w:val="009A6626"/>
    <w:rsid w:val="009A76C0"/>
    <w:rsid w:val="009A7BB8"/>
    <w:rsid w:val="009B083A"/>
    <w:rsid w:val="009B2C0B"/>
    <w:rsid w:val="009B37C8"/>
    <w:rsid w:val="009B3A12"/>
    <w:rsid w:val="009B4DAC"/>
    <w:rsid w:val="009B6BA3"/>
    <w:rsid w:val="009C0EFC"/>
    <w:rsid w:val="009C2A3A"/>
    <w:rsid w:val="009C6A99"/>
    <w:rsid w:val="009D0E20"/>
    <w:rsid w:val="009D18A5"/>
    <w:rsid w:val="009D2822"/>
    <w:rsid w:val="009D45AA"/>
    <w:rsid w:val="009E1F49"/>
    <w:rsid w:val="009E22D3"/>
    <w:rsid w:val="009E56B6"/>
    <w:rsid w:val="009E60BE"/>
    <w:rsid w:val="009E721B"/>
    <w:rsid w:val="009E7EA2"/>
    <w:rsid w:val="009F0730"/>
    <w:rsid w:val="009F1C8F"/>
    <w:rsid w:val="009F3108"/>
    <w:rsid w:val="009F344A"/>
    <w:rsid w:val="009F7FC0"/>
    <w:rsid w:val="00A0046D"/>
    <w:rsid w:val="00A01E45"/>
    <w:rsid w:val="00A02524"/>
    <w:rsid w:val="00A031F9"/>
    <w:rsid w:val="00A05292"/>
    <w:rsid w:val="00A06246"/>
    <w:rsid w:val="00A0640F"/>
    <w:rsid w:val="00A1153A"/>
    <w:rsid w:val="00A127E7"/>
    <w:rsid w:val="00A139B9"/>
    <w:rsid w:val="00A141DC"/>
    <w:rsid w:val="00A15867"/>
    <w:rsid w:val="00A16743"/>
    <w:rsid w:val="00A168E1"/>
    <w:rsid w:val="00A169B3"/>
    <w:rsid w:val="00A213DE"/>
    <w:rsid w:val="00A2244F"/>
    <w:rsid w:val="00A24B6C"/>
    <w:rsid w:val="00A308B7"/>
    <w:rsid w:val="00A30ABE"/>
    <w:rsid w:val="00A31535"/>
    <w:rsid w:val="00A3172C"/>
    <w:rsid w:val="00A354C6"/>
    <w:rsid w:val="00A36889"/>
    <w:rsid w:val="00A36E79"/>
    <w:rsid w:val="00A424B5"/>
    <w:rsid w:val="00A42872"/>
    <w:rsid w:val="00A42F3F"/>
    <w:rsid w:val="00A458B0"/>
    <w:rsid w:val="00A505AB"/>
    <w:rsid w:val="00A52C30"/>
    <w:rsid w:val="00A54CB0"/>
    <w:rsid w:val="00A56958"/>
    <w:rsid w:val="00A6152A"/>
    <w:rsid w:val="00A626A7"/>
    <w:rsid w:val="00A65DB1"/>
    <w:rsid w:val="00A704AB"/>
    <w:rsid w:val="00A71C02"/>
    <w:rsid w:val="00A73F2C"/>
    <w:rsid w:val="00A74579"/>
    <w:rsid w:val="00A75434"/>
    <w:rsid w:val="00A7635C"/>
    <w:rsid w:val="00A77E32"/>
    <w:rsid w:val="00A81AA5"/>
    <w:rsid w:val="00A81F8D"/>
    <w:rsid w:val="00A827CF"/>
    <w:rsid w:val="00A82FB9"/>
    <w:rsid w:val="00A86179"/>
    <w:rsid w:val="00A90AEA"/>
    <w:rsid w:val="00A91287"/>
    <w:rsid w:val="00A9131D"/>
    <w:rsid w:val="00A919F2"/>
    <w:rsid w:val="00A92169"/>
    <w:rsid w:val="00A92C71"/>
    <w:rsid w:val="00A933FB"/>
    <w:rsid w:val="00A95D6C"/>
    <w:rsid w:val="00A96641"/>
    <w:rsid w:val="00AA1117"/>
    <w:rsid w:val="00AA3D0D"/>
    <w:rsid w:val="00AA5775"/>
    <w:rsid w:val="00AA5E73"/>
    <w:rsid w:val="00AA7449"/>
    <w:rsid w:val="00AB13EC"/>
    <w:rsid w:val="00AB20D1"/>
    <w:rsid w:val="00AB3B3E"/>
    <w:rsid w:val="00AB4475"/>
    <w:rsid w:val="00AB4AA5"/>
    <w:rsid w:val="00AB5F90"/>
    <w:rsid w:val="00AB6F8E"/>
    <w:rsid w:val="00AB72A9"/>
    <w:rsid w:val="00AB738E"/>
    <w:rsid w:val="00AC0051"/>
    <w:rsid w:val="00AC0E97"/>
    <w:rsid w:val="00AC0FE5"/>
    <w:rsid w:val="00AC120A"/>
    <w:rsid w:val="00AC4C04"/>
    <w:rsid w:val="00AD26D6"/>
    <w:rsid w:val="00AD304E"/>
    <w:rsid w:val="00AD47D4"/>
    <w:rsid w:val="00AD5CBA"/>
    <w:rsid w:val="00AD7799"/>
    <w:rsid w:val="00AE028C"/>
    <w:rsid w:val="00AE0602"/>
    <w:rsid w:val="00AE258E"/>
    <w:rsid w:val="00AE2C57"/>
    <w:rsid w:val="00AE2EEB"/>
    <w:rsid w:val="00AE38F1"/>
    <w:rsid w:val="00AE54E0"/>
    <w:rsid w:val="00AE76D4"/>
    <w:rsid w:val="00AF024E"/>
    <w:rsid w:val="00AF1069"/>
    <w:rsid w:val="00AF12B6"/>
    <w:rsid w:val="00AF1895"/>
    <w:rsid w:val="00AF5D94"/>
    <w:rsid w:val="00B02167"/>
    <w:rsid w:val="00B04533"/>
    <w:rsid w:val="00B07C79"/>
    <w:rsid w:val="00B101FC"/>
    <w:rsid w:val="00B10BD2"/>
    <w:rsid w:val="00B13E8A"/>
    <w:rsid w:val="00B14ED3"/>
    <w:rsid w:val="00B213B3"/>
    <w:rsid w:val="00B23FD8"/>
    <w:rsid w:val="00B245EA"/>
    <w:rsid w:val="00B26201"/>
    <w:rsid w:val="00B2642C"/>
    <w:rsid w:val="00B2679D"/>
    <w:rsid w:val="00B26A1F"/>
    <w:rsid w:val="00B272B8"/>
    <w:rsid w:val="00B30716"/>
    <w:rsid w:val="00B31C4F"/>
    <w:rsid w:val="00B31C9A"/>
    <w:rsid w:val="00B32515"/>
    <w:rsid w:val="00B36CB4"/>
    <w:rsid w:val="00B37B13"/>
    <w:rsid w:val="00B41E67"/>
    <w:rsid w:val="00B42306"/>
    <w:rsid w:val="00B435BC"/>
    <w:rsid w:val="00B45873"/>
    <w:rsid w:val="00B51001"/>
    <w:rsid w:val="00B5172D"/>
    <w:rsid w:val="00B51E52"/>
    <w:rsid w:val="00B56C42"/>
    <w:rsid w:val="00B5784D"/>
    <w:rsid w:val="00B622E3"/>
    <w:rsid w:val="00B6277A"/>
    <w:rsid w:val="00B65DBB"/>
    <w:rsid w:val="00B66615"/>
    <w:rsid w:val="00B80B82"/>
    <w:rsid w:val="00B81E72"/>
    <w:rsid w:val="00B84A3D"/>
    <w:rsid w:val="00B864FE"/>
    <w:rsid w:val="00B9017E"/>
    <w:rsid w:val="00B9026F"/>
    <w:rsid w:val="00B91AB4"/>
    <w:rsid w:val="00B94CC9"/>
    <w:rsid w:val="00B95EEB"/>
    <w:rsid w:val="00B9660D"/>
    <w:rsid w:val="00BA03DE"/>
    <w:rsid w:val="00BA0E23"/>
    <w:rsid w:val="00BA236A"/>
    <w:rsid w:val="00BA2700"/>
    <w:rsid w:val="00BA32B4"/>
    <w:rsid w:val="00BA44B9"/>
    <w:rsid w:val="00BA48D2"/>
    <w:rsid w:val="00BA6638"/>
    <w:rsid w:val="00BA7E1C"/>
    <w:rsid w:val="00BB264C"/>
    <w:rsid w:val="00BB3203"/>
    <w:rsid w:val="00BB60B1"/>
    <w:rsid w:val="00BC06F7"/>
    <w:rsid w:val="00BC0A64"/>
    <w:rsid w:val="00BC31C9"/>
    <w:rsid w:val="00BC3700"/>
    <w:rsid w:val="00BC50C5"/>
    <w:rsid w:val="00BC7DCF"/>
    <w:rsid w:val="00BD185F"/>
    <w:rsid w:val="00BD3D41"/>
    <w:rsid w:val="00BD41B0"/>
    <w:rsid w:val="00BD5E34"/>
    <w:rsid w:val="00BE0700"/>
    <w:rsid w:val="00BE0BE5"/>
    <w:rsid w:val="00BE24CB"/>
    <w:rsid w:val="00BE3FAC"/>
    <w:rsid w:val="00BE61A1"/>
    <w:rsid w:val="00BE6E02"/>
    <w:rsid w:val="00BE70CA"/>
    <w:rsid w:val="00BF086B"/>
    <w:rsid w:val="00BF0CD7"/>
    <w:rsid w:val="00BF10EC"/>
    <w:rsid w:val="00BF1C54"/>
    <w:rsid w:val="00BF2A65"/>
    <w:rsid w:val="00BF42F1"/>
    <w:rsid w:val="00BF44AE"/>
    <w:rsid w:val="00BF5888"/>
    <w:rsid w:val="00BF5999"/>
    <w:rsid w:val="00BF6E4C"/>
    <w:rsid w:val="00BF6EEE"/>
    <w:rsid w:val="00C004DC"/>
    <w:rsid w:val="00C00819"/>
    <w:rsid w:val="00C037AF"/>
    <w:rsid w:val="00C060E7"/>
    <w:rsid w:val="00C1019F"/>
    <w:rsid w:val="00C12A0E"/>
    <w:rsid w:val="00C13CE0"/>
    <w:rsid w:val="00C141DE"/>
    <w:rsid w:val="00C14773"/>
    <w:rsid w:val="00C17349"/>
    <w:rsid w:val="00C21109"/>
    <w:rsid w:val="00C2114B"/>
    <w:rsid w:val="00C22B17"/>
    <w:rsid w:val="00C23998"/>
    <w:rsid w:val="00C24C21"/>
    <w:rsid w:val="00C266A1"/>
    <w:rsid w:val="00C27325"/>
    <w:rsid w:val="00C27FAF"/>
    <w:rsid w:val="00C305F0"/>
    <w:rsid w:val="00C3094C"/>
    <w:rsid w:val="00C316C7"/>
    <w:rsid w:val="00C33D41"/>
    <w:rsid w:val="00C371B2"/>
    <w:rsid w:val="00C379EB"/>
    <w:rsid w:val="00C37C49"/>
    <w:rsid w:val="00C41912"/>
    <w:rsid w:val="00C4349E"/>
    <w:rsid w:val="00C43E35"/>
    <w:rsid w:val="00C447A7"/>
    <w:rsid w:val="00C44F93"/>
    <w:rsid w:val="00C4691F"/>
    <w:rsid w:val="00C502DF"/>
    <w:rsid w:val="00C5231C"/>
    <w:rsid w:val="00C525B9"/>
    <w:rsid w:val="00C529BF"/>
    <w:rsid w:val="00C53CED"/>
    <w:rsid w:val="00C56A0F"/>
    <w:rsid w:val="00C63394"/>
    <w:rsid w:val="00C6667B"/>
    <w:rsid w:val="00C67FDC"/>
    <w:rsid w:val="00C7213C"/>
    <w:rsid w:val="00C749CB"/>
    <w:rsid w:val="00C75DFC"/>
    <w:rsid w:val="00C80E76"/>
    <w:rsid w:val="00C8225D"/>
    <w:rsid w:val="00C823BF"/>
    <w:rsid w:val="00C848D1"/>
    <w:rsid w:val="00C85C3D"/>
    <w:rsid w:val="00C87BED"/>
    <w:rsid w:val="00C903C6"/>
    <w:rsid w:val="00C912B9"/>
    <w:rsid w:val="00C91CDF"/>
    <w:rsid w:val="00C91D4B"/>
    <w:rsid w:val="00C92F90"/>
    <w:rsid w:val="00C9328D"/>
    <w:rsid w:val="00C96437"/>
    <w:rsid w:val="00C966C0"/>
    <w:rsid w:val="00CA0693"/>
    <w:rsid w:val="00CA1311"/>
    <w:rsid w:val="00CA3C50"/>
    <w:rsid w:val="00CA5A30"/>
    <w:rsid w:val="00CB0386"/>
    <w:rsid w:val="00CB1607"/>
    <w:rsid w:val="00CB3617"/>
    <w:rsid w:val="00CB56E0"/>
    <w:rsid w:val="00CB5E78"/>
    <w:rsid w:val="00CC0D1B"/>
    <w:rsid w:val="00CD1736"/>
    <w:rsid w:val="00CD2080"/>
    <w:rsid w:val="00CD3A83"/>
    <w:rsid w:val="00CD4605"/>
    <w:rsid w:val="00CD6210"/>
    <w:rsid w:val="00CE1C83"/>
    <w:rsid w:val="00CE1FF0"/>
    <w:rsid w:val="00CE48A5"/>
    <w:rsid w:val="00CE528B"/>
    <w:rsid w:val="00CF23B0"/>
    <w:rsid w:val="00CF3160"/>
    <w:rsid w:val="00CF4FFA"/>
    <w:rsid w:val="00CF5481"/>
    <w:rsid w:val="00CF5CE4"/>
    <w:rsid w:val="00CF5DF8"/>
    <w:rsid w:val="00D021ED"/>
    <w:rsid w:val="00D04F02"/>
    <w:rsid w:val="00D06162"/>
    <w:rsid w:val="00D107DB"/>
    <w:rsid w:val="00D11465"/>
    <w:rsid w:val="00D11813"/>
    <w:rsid w:val="00D135BD"/>
    <w:rsid w:val="00D15A17"/>
    <w:rsid w:val="00D15B56"/>
    <w:rsid w:val="00D16AE6"/>
    <w:rsid w:val="00D1757F"/>
    <w:rsid w:val="00D2242B"/>
    <w:rsid w:val="00D242C5"/>
    <w:rsid w:val="00D26EDC"/>
    <w:rsid w:val="00D27C91"/>
    <w:rsid w:val="00D33083"/>
    <w:rsid w:val="00D379A6"/>
    <w:rsid w:val="00D40F6D"/>
    <w:rsid w:val="00D41AEE"/>
    <w:rsid w:val="00D4384A"/>
    <w:rsid w:val="00D45E2F"/>
    <w:rsid w:val="00D4713A"/>
    <w:rsid w:val="00D53D74"/>
    <w:rsid w:val="00D5423D"/>
    <w:rsid w:val="00D553D8"/>
    <w:rsid w:val="00D61BE4"/>
    <w:rsid w:val="00D6319E"/>
    <w:rsid w:val="00D65C8E"/>
    <w:rsid w:val="00D673E2"/>
    <w:rsid w:val="00D700A2"/>
    <w:rsid w:val="00D7014D"/>
    <w:rsid w:val="00D74104"/>
    <w:rsid w:val="00D75138"/>
    <w:rsid w:val="00D758EA"/>
    <w:rsid w:val="00D75B54"/>
    <w:rsid w:val="00D76D08"/>
    <w:rsid w:val="00D77083"/>
    <w:rsid w:val="00D77B05"/>
    <w:rsid w:val="00D80721"/>
    <w:rsid w:val="00D823C2"/>
    <w:rsid w:val="00D8380C"/>
    <w:rsid w:val="00D852AC"/>
    <w:rsid w:val="00D8538F"/>
    <w:rsid w:val="00D86668"/>
    <w:rsid w:val="00D869BA"/>
    <w:rsid w:val="00D87B09"/>
    <w:rsid w:val="00D87F52"/>
    <w:rsid w:val="00D913E3"/>
    <w:rsid w:val="00D92776"/>
    <w:rsid w:val="00D93D50"/>
    <w:rsid w:val="00D96362"/>
    <w:rsid w:val="00DA0771"/>
    <w:rsid w:val="00DA170B"/>
    <w:rsid w:val="00DA5560"/>
    <w:rsid w:val="00DB257B"/>
    <w:rsid w:val="00DB5AD6"/>
    <w:rsid w:val="00DB6301"/>
    <w:rsid w:val="00DB781A"/>
    <w:rsid w:val="00DB7FD9"/>
    <w:rsid w:val="00DC198A"/>
    <w:rsid w:val="00DC3A85"/>
    <w:rsid w:val="00DC3F18"/>
    <w:rsid w:val="00DC3F54"/>
    <w:rsid w:val="00DC464F"/>
    <w:rsid w:val="00DC4E2C"/>
    <w:rsid w:val="00DC5B75"/>
    <w:rsid w:val="00DC6C8A"/>
    <w:rsid w:val="00DD1D54"/>
    <w:rsid w:val="00DD2565"/>
    <w:rsid w:val="00DD6090"/>
    <w:rsid w:val="00DD68F0"/>
    <w:rsid w:val="00DD778E"/>
    <w:rsid w:val="00DE4A68"/>
    <w:rsid w:val="00DE622E"/>
    <w:rsid w:val="00DE628A"/>
    <w:rsid w:val="00DF61AA"/>
    <w:rsid w:val="00E042B0"/>
    <w:rsid w:val="00E06366"/>
    <w:rsid w:val="00E068E7"/>
    <w:rsid w:val="00E06A4D"/>
    <w:rsid w:val="00E107EC"/>
    <w:rsid w:val="00E10E76"/>
    <w:rsid w:val="00E10FA1"/>
    <w:rsid w:val="00E127C1"/>
    <w:rsid w:val="00E128DC"/>
    <w:rsid w:val="00E13973"/>
    <w:rsid w:val="00E15788"/>
    <w:rsid w:val="00E15E60"/>
    <w:rsid w:val="00E16C24"/>
    <w:rsid w:val="00E17C10"/>
    <w:rsid w:val="00E21351"/>
    <w:rsid w:val="00E22070"/>
    <w:rsid w:val="00E22E8D"/>
    <w:rsid w:val="00E231D5"/>
    <w:rsid w:val="00E2412E"/>
    <w:rsid w:val="00E24179"/>
    <w:rsid w:val="00E2485A"/>
    <w:rsid w:val="00E26C56"/>
    <w:rsid w:val="00E27585"/>
    <w:rsid w:val="00E30589"/>
    <w:rsid w:val="00E32433"/>
    <w:rsid w:val="00E32E4E"/>
    <w:rsid w:val="00E33FBE"/>
    <w:rsid w:val="00E355F4"/>
    <w:rsid w:val="00E3595F"/>
    <w:rsid w:val="00E3641C"/>
    <w:rsid w:val="00E3671E"/>
    <w:rsid w:val="00E37DA6"/>
    <w:rsid w:val="00E417D7"/>
    <w:rsid w:val="00E41F7D"/>
    <w:rsid w:val="00E42093"/>
    <w:rsid w:val="00E45FA6"/>
    <w:rsid w:val="00E513D2"/>
    <w:rsid w:val="00E519CA"/>
    <w:rsid w:val="00E5454D"/>
    <w:rsid w:val="00E54AC8"/>
    <w:rsid w:val="00E55458"/>
    <w:rsid w:val="00E560AC"/>
    <w:rsid w:val="00E60224"/>
    <w:rsid w:val="00E646FE"/>
    <w:rsid w:val="00E64A2D"/>
    <w:rsid w:val="00E64E02"/>
    <w:rsid w:val="00E67122"/>
    <w:rsid w:val="00E7029C"/>
    <w:rsid w:val="00E70969"/>
    <w:rsid w:val="00E70ECC"/>
    <w:rsid w:val="00E727E4"/>
    <w:rsid w:val="00E74930"/>
    <w:rsid w:val="00E74E5C"/>
    <w:rsid w:val="00E75282"/>
    <w:rsid w:val="00E769BC"/>
    <w:rsid w:val="00E7716B"/>
    <w:rsid w:val="00E77448"/>
    <w:rsid w:val="00E81172"/>
    <w:rsid w:val="00E81EA5"/>
    <w:rsid w:val="00E83366"/>
    <w:rsid w:val="00E8351E"/>
    <w:rsid w:val="00E90161"/>
    <w:rsid w:val="00E92E26"/>
    <w:rsid w:val="00E96233"/>
    <w:rsid w:val="00E974CE"/>
    <w:rsid w:val="00EA18E1"/>
    <w:rsid w:val="00EA540A"/>
    <w:rsid w:val="00EA5EDB"/>
    <w:rsid w:val="00EA7470"/>
    <w:rsid w:val="00EB09F6"/>
    <w:rsid w:val="00EB11D9"/>
    <w:rsid w:val="00EB1F75"/>
    <w:rsid w:val="00EB216E"/>
    <w:rsid w:val="00EB403B"/>
    <w:rsid w:val="00EB5996"/>
    <w:rsid w:val="00EB5E2F"/>
    <w:rsid w:val="00EC3106"/>
    <w:rsid w:val="00EC3FEA"/>
    <w:rsid w:val="00EC4F3E"/>
    <w:rsid w:val="00EC5E2A"/>
    <w:rsid w:val="00EC6AB3"/>
    <w:rsid w:val="00ED11EF"/>
    <w:rsid w:val="00ED332D"/>
    <w:rsid w:val="00ED40B9"/>
    <w:rsid w:val="00ED425B"/>
    <w:rsid w:val="00EE003C"/>
    <w:rsid w:val="00EE02D2"/>
    <w:rsid w:val="00EE0831"/>
    <w:rsid w:val="00EE6412"/>
    <w:rsid w:val="00EE68D9"/>
    <w:rsid w:val="00EE69B7"/>
    <w:rsid w:val="00EE7C3F"/>
    <w:rsid w:val="00EF099D"/>
    <w:rsid w:val="00EF1967"/>
    <w:rsid w:val="00EF27D2"/>
    <w:rsid w:val="00EF28F8"/>
    <w:rsid w:val="00EF3643"/>
    <w:rsid w:val="00EF5046"/>
    <w:rsid w:val="00EF7425"/>
    <w:rsid w:val="00F005A8"/>
    <w:rsid w:val="00F06DB5"/>
    <w:rsid w:val="00F1143D"/>
    <w:rsid w:val="00F120C5"/>
    <w:rsid w:val="00F13C45"/>
    <w:rsid w:val="00F13CF7"/>
    <w:rsid w:val="00F16074"/>
    <w:rsid w:val="00F16D22"/>
    <w:rsid w:val="00F17378"/>
    <w:rsid w:val="00F179F4"/>
    <w:rsid w:val="00F22680"/>
    <w:rsid w:val="00F24B85"/>
    <w:rsid w:val="00F250BD"/>
    <w:rsid w:val="00F25FEE"/>
    <w:rsid w:val="00F274AA"/>
    <w:rsid w:val="00F275FD"/>
    <w:rsid w:val="00F30DE5"/>
    <w:rsid w:val="00F31505"/>
    <w:rsid w:val="00F316C9"/>
    <w:rsid w:val="00F31D5F"/>
    <w:rsid w:val="00F32B30"/>
    <w:rsid w:val="00F33232"/>
    <w:rsid w:val="00F36116"/>
    <w:rsid w:val="00F36D44"/>
    <w:rsid w:val="00F41272"/>
    <w:rsid w:val="00F42C5D"/>
    <w:rsid w:val="00F42D32"/>
    <w:rsid w:val="00F43091"/>
    <w:rsid w:val="00F4590A"/>
    <w:rsid w:val="00F4622C"/>
    <w:rsid w:val="00F46ADC"/>
    <w:rsid w:val="00F47213"/>
    <w:rsid w:val="00F478B2"/>
    <w:rsid w:val="00F514C8"/>
    <w:rsid w:val="00F51658"/>
    <w:rsid w:val="00F55742"/>
    <w:rsid w:val="00F55AD9"/>
    <w:rsid w:val="00F571C1"/>
    <w:rsid w:val="00F572A5"/>
    <w:rsid w:val="00F57742"/>
    <w:rsid w:val="00F57A23"/>
    <w:rsid w:val="00F606DD"/>
    <w:rsid w:val="00F6205A"/>
    <w:rsid w:val="00F642FC"/>
    <w:rsid w:val="00F64F34"/>
    <w:rsid w:val="00F6544F"/>
    <w:rsid w:val="00F65C6E"/>
    <w:rsid w:val="00F6667B"/>
    <w:rsid w:val="00F72754"/>
    <w:rsid w:val="00F7286A"/>
    <w:rsid w:val="00F74198"/>
    <w:rsid w:val="00F74612"/>
    <w:rsid w:val="00F7486D"/>
    <w:rsid w:val="00F77416"/>
    <w:rsid w:val="00F821CB"/>
    <w:rsid w:val="00F84037"/>
    <w:rsid w:val="00F8442E"/>
    <w:rsid w:val="00F847C5"/>
    <w:rsid w:val="00F84947"/>
    <w:rsid w:val="00F85441"/>
    <w:rsid w:val="00F87248"/>
    <w:rsid w:val="00F90496"/>
    <w:rsid w:val="00F944F9"/>
    <w:rsid w:val="00F946B9"/>
    <w:rsid w:val="00F9572A"/>
    <w:rsid w:val="00F95821"/>
    <w:rsid w:val="00F95A0F"/>
    <w:rsid w:val="00FA0C10"/>
    <w:rsid w:val="00FA10E5"/>
    <w:rsid w:val="00FA1587"/>
    <w:rsid w:val="00FA19BA"/>
    <w:rsid w:val="00FA38B8"/>
    <w:rsid w:val="00FA44B5"/>
    <w:rsid w:val="00FA56D3"/>
    <w:rsid w:val="00FA5DD5"/>
    <w:rsid w:val="00FA6364"/>
    <w:rsid w:val="00FA6AE5"/>
    <w:rsid w:val="00FA7433"/>
    <w:rsid w:val="00FA779B"/>
    <w:rsid w:val="00FB382E"/>
    <w:rsid w:val="00FB3EB4"/>
    <w:rsid w:val="00FB6213"/>
    <w:rsid w:val="00FB7CB4"/>
    <w:rsid w:val="00FC03CD"/>
    <w:rsid w:val="00FC19AC"/>
    <w:rsid w:val="00FC22A0"/>
    <w:rsid w:val="00FC2AD5"/>
    <w:rsid w:val="00FC44F2"/>
    <w:rsid w:val="00FC44F9"/>
    <w:rsid w:val="00FC6156"/>
    <w:rsid w:val="00FC658F"/>
    <w:rsid w:val="00FD1D68"/>
    <w:rsid w:val="00FD6420"/>
    <w:rsid w:val="00FD6767"/>
    <w:rsid w:val="00FE2424"/>
    <w:rsid w:val="00FE33A0"/>
    <w:rsid w:val="00FE36F7"/>
    <w:rsid w:val="00FE5015"/>
    <w:rsid w:val="00FE63DC"/>
    <w:rsid w:val="00FE68DB"/>
    <w:rsid w:val="00FE777B"/>
    <w:rsid w:val="00FE7C1F"/>
    <w:rsid w:val="00FF00FF"/>
    <w:rsid w:val="00FF1DC3"/>
    <w:rsid w:val="00FF3422"/>
    <w:rsid w:val="00FF34B5"/>
    <w:rsid w:val="00FF7C98"/>
    <w:rsid w:val="00FF7E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7D3303F4"/>
  <w15:docId w15:val="{F5499379-4172-4A76-9BCE-CDCBCF35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062"/>
    <w:pPr>
      <w:spacing w:after="200" w:line="276" w:lineRule="auto"/>
    </w:pPr>
    <w:rPr>
      <w:lang w:eastAsia="en-US"/>
    </w:rPr>
  </w:style>
  <w:style w:type="paragraph" w:styleId="Heading1">
    <w:name w:val="heading 1"/>
    <w:basedOn w:val="Normal"/>
    <w:next w:val="Normal"/>
    <w:link w:val="Heading1Char"/>
    <w:uiPriority w:val="9"/>
    <w:qFormat/>
    <w:locked/>
    <w:rsid w:val="008B3E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5044"/>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locked/>
    <w:rsid w:val="00995044"/>
    <w:rPr>
      <w:rFonts w:ascii="Tahoma" w:hAnsi="Tahoma" w:cs="Tahoma"/>
      <w:sz w:val="16"/>
      <w:szCs w:val="16"/>
      <w:lang w:val="hr-HR" w:eastAsia="hr-HR"/>
    </w:rPr>
  </w:style>
  <w:style w:type="character" w:styleId="CommentReference">
    <w:name w:val="annotation reference"/>
    <w:basedOn w:val="DefaultParagraphFont"/>
    <w:uiPriority w:val="99"/>
    <w:semiHidden/>
    <w:rsid w:val="00995044"/>
    <w:rPr>
      <w:rFonts w:cs="Times New Roman"/>
      <w:sz w:val="16"/>
      <w:szCs w:val="16"/>
    </w:rPr>
  </w:style>
  <w:style w:type="paragraph" w:styleId="CommentText">
    <w:name w:val="annotation text"/>
    <w:basedOn w:val="Normal"/>
    <w:link w:val="CommentTextChar"/>
    <w:uiPriority w:val="99"/>
    <w:semiHidden/>
    <w:rsid w:val="00995044"/>
    <w:pPr>
      <w:spacing w:after="0" w:line="240" w:lineRule="auto"/>
    </w:pPr>
    <w:rPr>
      <w:rFonts w:ascii="Times New Roman" w:eastAsia="Times New Roman" w:hAnsi="Times New Roman"/>
      <w:sz w:val="20"/>
      <w:szCs w:val="20"/>
      <w:lang w:eastAsia="hr-HR"/>
    </w:rPr>
  </w:style>
  <w:style w:type="character" w:customStyle="1" w:styleId="CommentTextChar">
    <w:name w:val="Comment Text Char"/>
    <w:basedOn w:val="DefaultParagraphFont"/>
    <w:link w:val="CommentText"/>
    <w:uiPriority w:val="99"/>
    <w:semiHidden/>
    <w:locked/>
    <w:rsid w:val="00995044"/>
    <w:rPr>
      <w:rFonts w:ascii="Times New Roman" w:hAnsi="Times New Roman" w:cs="Times New Roman"/>
      <w:sz w:val="20"/>
      <w:szCs w:val="20"/>
      <w:lang w:val="hr-HR" w:eastAsia="hr-HR"/>
    </w:rPr>
  </w:style>
  <w:style w:type="character" w:customStyle="1" w:styleId="normalchar1">
    <w:name w:val="normal__char1"/>
    <w:basedOn w:val="DefaultParagraphFont"/>
    <w:uiPriority w:val="99"/>
    <w:rsid w:val="00995044"/>
    <w:rPr>
      <w:rFonts w:ascii="Times New Roman" w:hAnsi="Times New Roman" w:cs="Times New Roman"/>
      <w:sz w:val="24"/>
      <w:szCs w:val="24"/>
      <w:u w:val="none"/>
      <w:effect w:val="none"/>
    </w:rPr>
  </w:style>
  <w:style w:type="paragraph" w:customStyle="1" w:styleId="normal1">
    <w:name w:val="normal1"/>
    <w:basedOn w:val="Normal"/>
    <w:uiPriority w:val="99"/>
    <w:rsid w:val="00995044"/>
    <w:pPr>
      <w:spacing w:after="0" w:line="240" w:lineRule="auto"/>
    </w:pPr>
    <w:rPr>
      <w:rFonts w:ascii="Times New Roman" w:eastAsia="Times New Roman" w:hAnsi="Times New Roman"/>
      <w:sz w:val="24"/>
      <w:szCs w:val="24"/>
      <w:lang w:val="en-GB"/>
    </w:rPr>
  </w:style>
  <w:style w:type="paragraph" w:styleId="FootnoteText">
    <w:name w:val="footnote text"/>
    <w:basedOn w:val="Normal"/>
    <w:link w:val="FootnoteTextChar"/>
    <w:uiPriority w:val="99"/>
    <w:semiHidden/>
    <w:rsid w:val="00995044"/>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semiHidden/>
    <w:locked/>
    <w:rsid w:val="00995044"/>
    <w:rPr>
      <w:rFonts w:ascii="Times New Roman" w:hAnsi="Times New Roman" w:cs="Times New Roman"/>
      <w:sz w:val="20"/>
      <w:szCs w:val="20"/>
      <w:lang w:val="hr-HR" w:eastAsia="hr-HR"/>
    </w:rPr>
  </w:style>
  <w:style w:type="character" w:styleId="FootnoteReference">
    <w:name w:val="footnote reference"/>
    <w:basedOn w:val="DefaultParagraphFont"/>
    <w:uiPriority w:val="99"/>
    <w:semiHidden/>
    <w:rsid w:val="00995044"/>
    <w:rPr>
      <w:rFonts w:cs="Times New Roman"/>
      <w:vertAlign w:val="superscript"/>
    </w:rPr>
  </w:style>
  <w:style w:type="paragraph" w:styleId="CommentSubject">
    <w:name w:val="annotation subject"/>
    <w:basedOn w:val="CommentText"/>
    <w:next w:val="CommentText"/>
    <w:link w:val="CommentSubjectChar"/>
    <w:uiPriority w:val="99"/>
    <w:semiHidden/>
    <w:rsid w:val="00995044"/>
    <w:rPr>
      <w:b/>
      <w:bCs/>
    </w:rPr>
  </w:style>
  <w:style w:type="character" w:customStyle="1" w:styleId="CommentSubjectChar">
    <w:name w:val="Comment Subject Char"/>
    <w:basedOn w:val="CommentTextChar"/>
    <w:link w:val="CommentSubject"/>
    <w:uiPriority w:val="99"/>
    <w:semiHidden/>
    <w:locked/>
    <w:rsid w:val="00995044"/>
    <w:rPr>
      <w:rFonts w:ascii="Times New Roman" w:hAnsi="Times New Roman" w:cs="Times New Roman"/>
      <w:b/>
      <w:bCs/>
      <w:sz w:val="20"/>
      <w:szCs w:val="20"/>
      <w:lang w:val="hr-HR" w:eastAsia="hr-HR"/>
    </w:rPr>
  </w:style>
  <w:style w:type="paragraph" w:styleId="Footer">
    <w:name w:val="footer"/>
    <w:basedOn w:val="Normal"/>
    <w:link w:val="FooterChar"/>
    <w:uiPriority w:val="99"/>
    <w:rsid w:val="00995044"/>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FooterChar">
    <w:name w:val="Footer Char"/>
    <w:basedOn w:val="DefaultParagraphFont"/>
    <w:link w:val="Footer"/>
    <w:uiPriority w:val="99"/>
    <w:locked/>
    <w:rsid w:val="00995044"/>
    <w:rPr>
      <w:rFonts w:ascii="Times New Roman" w:hAnsi="Times New Roman" w:cs="Times New Roman"/>
      <w:sz w:val="24"/>
      <w:szCs w:val="24"/>
      <w:lang w:val="hr-HR" w:eastAsia="hr-HR"/>
    </w:rPr>
  </w:style>
  <w:style w:type="character" w:styleId="PageNumber">
    <w:name w:val="page number"/>
    <w:basedOn w:val="DefaultParagraphFont"/>
    <w:uiPriority w:val="99"/>
    <w:rsid w:val="00995044"/>
    <w:rPr>
      <w:rFonts w:cs="Times New Roman"/>
    </w:rPr>
  </w:style>
  <w:style w:type="paragraph" w:styleId="ListParagraph">
    <w:name w:val="List Paragraph"/>
    <w:basedOn w:val="Normal"/>
    <w:uiPriority w:val="99"/>
    <w:qFormat/>
    <w:rsid w:val="00C53CED"/>
    <w:pPr>
      <w:ind w:left="720"/>
      <w:contextualSpacing/>
    </w:pPr>
  </w:style>
  <w:style w:type="character" w:styleId="Hyperlink">
    <w:name w:val="Hyperlink"/>
    <w:basedOn w:val="DefaultParagraphFont"/>
    <w:uiPriority w:val="99"/>
    <w:locked/>
    <w:rsid w:val="004C0873"/>
    <w:rPr>
      <w:rFonts w:cs="Times New Roman"/>
      <w:color w:val="0000FF"/>
      <w:u w:val="single"/>
    </w:rPr>
  </w:style>
  <w:style w:type="table" w:styleId="TableGrid">
    <w:name w:val="Table Grid"/>
    <w:basedOn w:val="TableNormal"/>
    <w:uiPriority w:val="99"/>
    <w:locked/>
    <w:rsid w:val="00D45E2F"/>
    <w:pPr>
      <w:spacing w:after="200" w:line="276" w:lineRule="auto"/>
    </w:pPr>
    <w:rPr>
      <w:rFonts w:eastAsia="Times New Roman"/>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uiPriority w:val="99"/>
    <w:rsid w:val="005236F6"/>
    <w:pPr>
      <w:spacing w:before="100" w:beforeAutospacing="1" w:after="100" w:afterAutospacing="1" w:line="240" w:lineRule="auto"/>
    </w:pPr>
    <w:rPr>
      <w:rFonts w:ascii="Times New Roman" w:hAnsi="Times New Roman"/>
      <w:sz w:val="24"/>
      <w:szCs w:val="24"/>
      <w:lang w:eastAsia="hr-HR"/>
    </w:rPr>
  </w:style>
  <w:style w:type="paragraph" w:styleId="Header">
    <w:name w:val="header"/>
    <w:basedOn w:val="Normal"/>
    <w:link w:val="HeaderChar"/>
    <w:uiPriority w:val="99"/>
    <w:locked/>
    <w:rsid w:val="00895E94"/>
    <w:pPr>
      <w:tabs>
        <w:tab w:val="center" w:pos="4536"/>
        <w:tab w:val="right" w:pos="9072"/>
      </w:tabs>
    </w:pPr>
  </w:style>
  <w:style w:type="character" w:customStyle="1" w:styleId="HeaderChar">
    <w:name w:val="Header Char"/>
    <w:basedOn w:val="DefaultParagraphFont"/>
    <w:link w:val="Header"/>
    <w:uiPriority w:val="99"/>
    <w:semiHidden/>
    <w:locked/>
    <w:rsid w:val="0022747A"/>
    <w:rPr>
      <w:rFonts w:cs="Times New Roman"/>
      <w:lang w:val="en-US" w:eastAsia="en-US"/>
    </w:rPr>
  </w:style>
  <w:style w:type="character" w:styleId="Strong">
    <w:name w:val="Strong"/>
    <w:basedOn w:val="DefaultParagraphFont"/>
    <w:uiPriority w:val="22"/>
    <w:qFormat/>
    <w:locked/>
    <w:rsid w:val="008B3EA3"/>
    <w:rPr>
      <w:b/>
      <w:bCs/>
    </w:rPr>
  </w:style>
  <w:style w:type="character" w:customStyle="1" w:styleId="Heading1Char">
    <w:name w:val="Heading 1 Char"/>
    <w:basedOn w:val="DefaultParagraphFont"/>
    <w:link w:val="Heading1"/>
    <w:uiPriority w:val="9"/>
    <w:rsid w:val="008B3EA3"/>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8B3EA3"/>
    <w:pPr>
      <w:outlineLvl w:val="9"/>
    </w:pPr>
    <w:rPr>
      <w:lang w:eastAsia="hr-HR"/>
    </w:rPr>
  </w:style>
  <w:style w:type="paragraph" w:styleId="TOC2">
    <w:name w:val="toc 2"/>
    <w:basedOn w:val="Normal"/>
    <w:next w:val="Normal"/>
    <w:autoRedefine/>
    <w:uiPriority w:val="39"/>
    <w:semiHidden/>
    <w:unhideWhenUsed/>
    <w:qFormat/>
    <w:locked/>
    <w:rsid w:val="008B3EA3"/>
    <w:pPr>
      <w:spacing w:after="100"/>
      <w:ind w:left="220"/>
    </w:pPr>
    <w:rPr>
      <w:rFonts w:asciiTheme="minorHAnsi" w:eastAsiaTheme="minorEastAsia" w:hAnsiTheme="minorHAnsi" w:cstheme="minorBidi"/>
      <w:lang w:eastAsia="hr-HR"/>
    </w:rPr>
  </w:style>
  <w:style w:type="paragraph" w:styleId="TOC1">
    <w:name w:val="toc 1"/>
    <w:basedOn w:val="Normal"/>
    <w:next w:val="Normal"/>
    <w:autoRedefine/>
    <w:uiPriority w:val="39"/>
    <w:unhideWhenUsed/>
    <w:qFormat/>
    <w:locked/>
    <w:rsid w:val="008B3EA3"/>
    <w:pPr>
      <w:spacing w:after="100"/>
    </w:pPr>
    <w:rPr>
      <w:rFonts w:asciiTheme="minorHAnsi" w:eastAsiaTheme="minorEastAsia" w:hAnsiTheme="minorHAnsi" w:cstheme="minorBidi"/>
      <w:lang w:eastAsia="hr-HR"/>
    </w:rPr>
  </w:style>
  <w:style w:type="paragraph" w:styleId="TOC3">
    <w:name w:val="toc 3"/>
    <w:basedOn w:val="Normal"/>
    <w:next w:val="Normal"/>
    <w:autoRedefine/>
    <w:uiPriority w:val="39"/>
    <w:semiHidden/>
    <w:unhideWhenUsed/>
    <w:qFormat/>
    <w:locked/>
    <w:rsid w:val="008B3EA3"/>
    <w:pPr>
      <w:spacing w:after="100"/>
      <w:ind w:left="440"/>
    </w:pPr>
    <w:rPr>
      <w:rFonts w:asciiTheme="minorHAnsi" w:eastAsiaTheme="minorEastAsia" w:hAnsiTheme="minorHAnsi" w:cstheme="minorBidi"/>
      <w:lang w:eastAsia="hr-HR"/>
    </w:rPr>
  </w:style>
  <w:style w:type="character" w:styleId="SubtleReference">
    <w:name w:val="Subtle Reference"/>
    <w:basedOn w:val="DefaultParagraphFont"/>
    <w:uiPriority w:val="31"/>
    <w:qFormat/>
    <w:rsid w:val="001128CA"/>
    <w:rPr>
      <w:smallCaps/>
      <w:color w:val="C0504D" w:themeColor="accent2"/>
      <w:u w:val="single"/>
    </w:rPr>
  </w:style>
  <w:style w:type="character" w:styleId="IntenseReference">
    <w:name w:val="Intense Reference"/>
    <w:basedOn w:val="DefaultParagraphFont"/>
    <w:uiPriority w:val="32"/>
    <w:qFormat/>
    <w:rsid w:val="001128C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06939">
      <w:bodyDiv w:val="1"/>
      <w:marLeft w:val="0"/>
      <w:marRight w:val="0"/>
      <w:marTop w:val="0"/>
      <w:marBottom w:val="0"/>
      <w:divBdr>
        <w:top w:val="none" w:sz="0" w:space="0" w:color="auto"/>
        <w:left w:val="none" w:sz="0" w:space="0" w:color="auto"/>
        <w:bottom w:val="none" w:sz="0" w:space="0" w:color="auto"/>
        <w:right w:val="none" w:sz="0" w:space="0" w:color="auto"/>
      </w:divBdr>
    </w:div>
    <w:div w:id="479230428">
      <w:bodyDiv w:val="1"/>
      <w:marLeft w:val="0"/>
      <w:marRight w:val="0"/>
      <w:marTop w:val="0"/>
      <w:marBottom w:val="0"/>
      <w:divBdr>
        <w:top w:val="none" w:sz="0" w:space="0" w:color="auto"/>
        <w:left w:val="none" w:sz="0" w:space="0" w:color="auto"/>
        <w:bottom w:val="none" w:sz="0" w:space="0" w:color="auto"/>
        <w:right w:val="none" w:sz="0" w:space="0" w:color="auto"/>
      </w:divBdr>
    </w:div>
    <w:div w:id="1028218827">
      <w:marLeft w:val="0"/>
      <w:marRight w:val="0"/>
      <w:marTop w:val="0"/>
      <w:marBottom w:val="0"/>
      <w:divBdr>
        <w:top w:val="none" w:sz="0" w:space="0" w:color="auto"/>
        <w:left w:val="none" w:sz="0" w:space="0" w:color="auto"/>
        <w:bottom w:val="none" w:sz="0" w:space="0" w:color="auto"/>
        <w:right w:val="none" w:sz="0" w:space="0" w:color="auto"/>
      </w:divBdr>
      <w:divsChild>
        <w:div w:id="1028218833">
          <w:marLeft w:val="0"/>
          <w:marRight w:val="0"/>
          <w:marTop w:val="0"/>
          <w:marBottom w:val="0"/>
          <w:divBdr>
            <w:top w:val="none" w:sz="0" w:space="0" w:color="auto"/>
            <w:left w:val="none" w:sz="0" w:space="0" w:color="auto"/>
            <w:bottom w:val="none" w:sz="0" w:space="0" w:color="auto"/>
            <w:right w:val="none" w:sz="0" w:space="0" w:color="auto"/>
          </w:divBdr>
          <w:divsChild>
            <w:div w:id="1028218829">
              <w:marLeft w:val="0"/>
              <w:marRight w:val="0"/>
              <w:marTop w:val="0"/>
              <w:marBottom w:val="0"/>
              <w:divBdr>
                <w:top w:val="none" w:sz="0" w:space="0" w:color="auto"/>
                <w:left w:val="none" w:sz="0" w:space="0" w:color="auto"/>
                <w:bottom w:val="none" w:sz="0" w:space="0" w:color="auto"/>
                <w:right w:val="none" w:sz="0" w:space="0" w:color="auto"/>
              </w:divBdr>
            </w:div>
            <w:div w:id="1028218831">
              <w:marLeft w:val="0"/>
              <w:marRight w:val="0"/>
              <w:marTop w:val="0"/>
              <w:marBottom w:val="0"/>
              <w:divBdr>
                <w:top w:val="none" w:sz="0" w:space="0" w:color="auto"/>
                <w:left w:val="none" w:sz="0" w:space="0" w:color="auto"/>
                <w:bottom w:val="none" w:sz="0" w:space="0" w:color="auto"/>
                <w:right w:val="none" w:sz="0" w:space="0" w:color="auto"/>
              </w:divBdr>
            </w:div>
            <w:div w:id="1028218832">
              <w:marLeft w:val="0"/>
              <w:marRight w:val="0"/>
              <w:marTop w:val="0"/>
              <w:marBottom w:val="0"/>
              <w:divBdr>
                <w:top w:val="none" w:sz="0" w:space="0" w:color="auto"/>
                <w:left w:val="none" w:sz="0" w:space="0" w:color="auto"/>
                <w:bottom w:val="none" w:sz="0" w:space="0" w:color="auto"/>
                <w:right w:val="none" w:sz="0" w:space="0" w:color="auto"/>
              </w:divBdr>
            </w:div>
            <w:div w:id="1028218834">
              <w:marLeft w:val="0"/>
              <w:marRight w:val="0"/>
              <w:marTop w:val="0"/>
              <w:marBottom w:val="0"/>
              <w:divBdr>
                <w:top w:val="none" w:sz="0" w:space="0" w:color="auto"/>
                <w:left w:val="none" w:sz="0" w:space="0" w:color="auto"/>
                <w:bottom w:val="none" w:sz="0" w:space="0" w:color="auto"/>
                <w:right w:val="none" w:sz="0" w:space="0" w:color="auto"/>
              </w:divBdr>
            </w:div>
            <w:div w:id="1028218835">
              <w:marLeft w:val="0"/>
              <w:marRight w:val="0"/>
              <w:marTop w:val="0"/>
              <w:marBottom w:val="0"/>
              <w:divBdr>
                <w:top w:val="none" w:sz="0" w:space="0" w:color="auto"/>
                <w:left w:val="none" w:sz="0" w:space="0" w:color="auto"/>
                <w:bottom w:val="none" w:sz="0" w:space="0" w:color="auto"/>
                <w:right w:val="none" w:sz="0" w:space="0" w:color="auto"/>
              </w:divBdr>
            </w:div>
            <w:div w:id="1028218836">
              <w:marLeft w:val="0"/>
              <w:marRight w:val="0"/>
              <w:marTop w:val="0"/>
              <w:marBottom w:val="0"/>
              <w:divBdr>
                <w:top w:val="none" w:sz="0" w:space="0" w:color="auto"/>
                <w:left w:val="none" w:sz="0" w:space="0" w:color="auto"/>
                <w:bottom w:val="none" w:sz="0" w:space="0" w:color="auto"/>
                <w:right w:val="none" w:sz="0" w:space="0" w:color="auto"/>
              </w:divBdr>
            </w:div>
            <w:div w:id="10282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30">
      <w:marLeft w:val="0"/>
      <w:marRight w:val="0"/>
      <w:marTop w:val="0"/>
      <w:marBottom w:val="0"/>
      <w:divBdr>
        <w:top w:val="none" w:sz="0" w:space="0" w:color="auto"/>
        <w:left w:val="none" w:sz="0" w:space="0" w:color="auto"/>
        <w:bottom w:val="none" w:sz="0" w:space="0" w:color="auto"/>
        <w:right w:val="none" w:sz="0" w:space="0" w:color="auto"/>
      </w:divBdr>
      <w:divsChild>
        <w:div w:id="1028218828">
          <w:marLeft w:val="0"/>
          <w:marRight w:val="0"/>
          <w:marTop w:val="0"/>
          <w:marBottom w:val="0"/>
          <w:divBdr>
            <w:top w:val="none" w:sz="0" w:space="0" w:color="auto"/>
            <w:left w:val="none" w:sz="0" w:space="0" w:color="auto"/>
            <w:bottom w:val="none" w:sz="0" w:space="0" w:color="auto"/>
            <w:right w:val="none" w:sz="0" w:space="0" w:color="auto"/>
          </w:divBdr>
        </w:div>
      </w:divsChild>
    </w:div>
    <w:div w:id="1131749548">
      <w:bodyDiv w:val="1"/>
      <w:marLeft w:val="0"/>
      <w:marRight w:val="0"/>
      <w:marTop w:val="0"/>
      <w:marBottom w:val="0"/>
      <w:divBdr>
        <w:top w:val="none" w:sz="0" w:space="0" w:color="auto"/>
        <w:left w:val="none" w:sz="0" w:space="0" w:color="auto"/>
        <w:bottom w:val="none" w:sz="0" w:space="0" w:color="auto"/>
        <w:right w:val="none" w:sz="0" w:space="0" w:color="auto"/>
      </w:divBdr>
    </w:div>
    <w:div w:id="1203403999">
      <w:bodyDiv w:val="1"/>
      <w:marLeft w:val="0"/>
      <w:marRight w:val="0"/>
      <w:marTop w:val="0"/>
      <w:marBottom w:val="0"/>
      <w:divBdr>
        <w:top w:val="none" w:sz="0" w:space="0" w:color="auto"/>
        <w:left w:val="none" w:sz="0" w:space="0" w:color="auto"/>
        <w:bottom w:val="none" w:sz="0" w:space="0" w:color="auto"/>
        <w:right w:val="none" w:sz="0" w:space="0" w:color="auto"/>
      </w:divBdr>
    </w:div>
    <w:div w:id="1291277966">
      <w:bodyDiv w:val="1"/>
      <w:marLeft w:val="0"/>
      <w:marRight w:val="0"/>
      <w:marTop w:val="0"/>
      <w:marBottom w:val="0"/>
      <w:divBdr>
        <w:top w:val="none" w:sz="0" w:space="0" w:color="auto"/>
        <w:left w:val="none" w:sz="0" w:space="0" w:color="auto"/>
        <w:bottom w:val="none" w:sz="0" w:space="0" w:color="auto"/>
        <w:right w:val="none" w:sz="0" w:space="0" w:color="auto"/>
      </w:divBdr>
    </w:div>
    <w:div w:id="1474374298">
      <w:bodyDiv w:val="1"/>
      <w:marLeft w:val="0"/>
      <w:marRight w:val="0"/>
      <w:marTop w:val="0"/>
      <w:marBottom w:val="0"/>
      <w:divBdr>
        <w:top w:val="none" w:sz="0" w:space="0" w:color="auto"/>
        <w:left w:val="none" w:sz="0" w:space="0" w:color="auto"/>
        <w:bottom w:val="none" w:sz="0" w:space="0" w:color="auto"/>
        <w:right w:val="none" w:sz="0" w:space="0" w:color="auto"/>
      </w:divBdr>
    </w:div>
    <w:div w:id="18346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in.hr"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BFD8B-774E-4629-AC74-B3857F99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29</Pages>
  <Words>10867</Words>
  <Characters>61943</Characters>
  <Application>Microsoft Office Word</Application>
  <DocSecurity>0</DocSecurity>
  <Lines>516</Lines>
  <Paragraphs>145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REPUBLIKA HRVATSKA</vt:lpstr>
      <vt:lpstr>REPUBLIKA HRVATSKA</vt:lpstr>
    </vt:vector>
  </TitlesOfParts>
  <Company>HP</Company>
  <LinksUpToDate>false</LinksUpToDate>
  <CharactersWithSpaces>72665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Damir Cimer</dc:creator>
  <cp:lastModifiedBy>Ines Uglešić</cp:lastModifiedBy>
  <cp:revision>38</cp:revision>
  <cp:lastPrinted>2020-11-27T13:04:00Z</cp:lastPrinted>
  <dcterms:created xsi:type="dcterms:W3CDTF">2020-12-14T07:30:00Z</dcterms:created>
  <dcterms:modified xsi:type="dcterms:W3CDTF">2020-12-29T06:18:00Z</dcterms:modified>
</cp:coreProperties>
</file>